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4.png" ContentType="image/png"/>
  <Override PartName="/word/media/rId44.png" ContentType="image/png"/>
  <Override PartName="/word/media/rId29.png" ContentType="image/png"/>
  <Override PartName="/word/media/rId58.png" ContentType="image/png"/>
  <Override PartName="/word/media/rId53.png" ContentType="image/png"/>
  <Override PartName="/word/media/rId4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July</w:t>
      </w:r>
      <w:r>
        <w:t xml:space="preserve"> </w:t>
      </w:r>
      <w:r>
        <w:t xml:space="preserve">8,</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examined</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investigated</w:t>
      </w:r>
      <w:r>
        <w:t xml:space="preserve"> </w:t>
      </w:r>
      <w:r>
        <w:t xml:space="preserve">the</w:t>
      </w:r>
      <w:r>
        <w:t xml:space="preserve"> </w:t>
      </w:r>
      <w:r>
        <w:t xml:space="preserve">editing</w:t>
      </w:r>
      <w:r>
        <w:t xml:space="preserve"> </w:t>
      </w:r>
      <w:r>
        <w:t xml:space="preserve">dynamics</w:t>
      </w:r>
      <w:r>
        <w:t xml:space="preserve"> </w:t>
      </w:r>
      <w:r>
        <w:t xml:space="preserve">of</w:t>
      </w:r>
      <w:r>
        <w:t xml:space="preserve"> </w:t>
      </w:r>
      <w:r>
        <w:t xml:space="preserve">the</w:t>
      </w:r>
      <w:r>
        <w:t xml:space="preserve"> </w:t>
      </w:r>
      <w:r>
        <w:t xml:space="preserve">Wiki</w:t>
      </w:r>
      <w:r>
        <w:t xml:space="preserve"> </w:t>
      </w:r>
      <w:r>
        <w:t xml:space="preserve">to</w:t>
      </w:r>
      <w:r>
        <w:t xml:space="preserve"> </w:t>
      </w:r>
      <w:r>
        <w:t xml:space="preserve">understand</w:t>
      </w:r>
      <w:r>
        <w:t xml:space="preserve"> </w:t>
      </w:r>
      <w:r>
        <w:t xml:space="preserve">its</w:t>
      </w:r>
      <w:r>
        <w:t xml:space="preserve"> </w:t>
      </w:r>
      <w:r>
        <w:t xml:space="preserve">users</w:t>
      </w:r>
      <w:r>
        <w:t xml:space="preserve"> </w:t>
      </w:r>
      <w:r>
        <w:t xml:space="preserve">and</w:t>
      </w:r>
      <w:r>
        <w:t xml:space="preserve"> </w:t>
      </w:r>
      <w:r>
        <w:t xml:space="preserve">their</w:t>
      </w:r>
      <w:r>
        <w:t xml:space="preserve"> </w:t>
      </w:r>
      <w:r>
        <w:t xml:space="preserve">biases.</w:t>
      </w:r>
      <w:r>
        <w:t xml:space="preserve"> </w:t>
      </w:r>
      <w:r>
        <w:t xml:space="preserve">We</w:t>
      </w:r>
      <w:r>
        <w:t xml:space="preserve"> </w:t>
      </w:r>
      <w:r>
        <w:t xml:space="preserve">then</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have</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explored</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Finally,</w:t>
      </w:r>
      <w:r>
        <w:t xml:space="preserve"> </w:t>
      </w:r>
      <w:r>
        <w:t xml:space="preserve">we</w:t>
      </w:r>
      <w:r>
        <w:t xml:space="preserve"> </w:t>
      </w:r>
      <w:r>
        <w:t xml:space="preserve">assessed</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We</w:t>
      </w:r>
      <w:r>
        <w:t xml:space="preserve"> </w:t>
      </w:r>
      <w:r>
        <w:t xml:space="preserve">conclude</w:t>
      </w:r>
      <w:r>
        <w:t xml:space="preserve"> </w:t>
      </w:r>
      <w:r>
        <w:t xml:space="preserve">with</w:t>
      </w:r>
      <w:r>
        <w:t xml:space="preserve"> </w:t>
      </w:r>
      <w:r>
        <w:t xml:space="preserve">implications</w:t>
      </w:r>
      <w:r>
        <w:t xml:space="preserve"> </w:t>
      </w:r>
      <w:r>
        <w:t xml:space="preserve">for</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seeking</w:t>
      </w:r>
      <w:r>
        <w:t xml:space="preserve"> </w:t>
      </w:r>
      <w:r>
        <w:t xml:space="preserve">to</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 </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Hadden, Colvin, Cramb, Jones, Jones, Kling,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ratios ranging from 1.21 to 0.82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Hadden, Colvin, Cramb, Jones, Jones, Kling,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 Although some time has passed since the UC experiment, institutional attitudes to diversity are likely to remain in flux for the foreseeable future. The 2023 Supreme Court decision in Students for Fair Admissions v. Harvard, which effectively ended affirmative action at American colleges and universities, in tandem with the Trump administration’s 2025 targeting of DEI initiatives</w:t>
      </w:r>
      <w:r>
        <w:t xml:space="preserve"> </w:t>
      </w:r>
      <w:r>
        <w:t xml:space="preserve">(Knox and Alonso 2025)</w:t>
      </w:r>
      <w:r>
        <w:t xml:space="preserve"> </w:t>
      </w:r>
      <w:r>
        <w:t xml:space="preserve">foreshadow a shift in judicial and political currents that is reshaping institutional approaches to—and even definitions of—diversity. The 180° pivot over the past five years—from requiring carefully crafted diversity statements as a matter of course to abrupt and sweeping policy shifts rendering such documents obsolete—indicates that national and institutional commitments to diversity may be only as deep as the latest strategic plan.</w:t>
      </w:r>
    </w:p>
    <w:bookmarkEnd w:id="21"/>
    <w:bookmarkStart w:id="28" w:name="materials-and-methods"/>
    <w:p>
      <w:pPr>
        <w:pStyle w:val="Heading1"/>
      </w:pPr>
      <w:r>
        <w:t xml:space="preserve">Materials and methods</w:t>
      </w:r>
    </w:p>
    <w:bookmarkStart w:id="26" w:name="X1865b5f1032aed4e1770728a3dbe90715502cf8"/>
    <w:p>
      <w:pPr>
        <w:pStyle w:val="Heading2"/>
      </w:pPr>
      <w:r>
        <w:t xml:space="preserve">Contextualizing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475488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measure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2241, 81%). There are 412 (15%) editors who were active for between one day and one year. Only 113 (n = 4%) editors were active for more than one year, with 8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1 year or less than 4 years post-PhD, only 3% (3/116) held permanent positions. These numbers increased slightly for participants who had been on the market for 5–7 years, with 14% (7/49) holding permanent positions; similarly, 18% (6/34) of respondents who were on the market for 8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w:t>
      </w:r>
      <w:r>
        <w:t xml:space="preserve"> </w:t>
      </w:r>
      <w:r>
        <w:t xml:space="preserve">Main et al. (2019)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post-PhD, three years post-PhD,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partially reflect the temporal patterns in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and neutral archive of all jobs posted during the study period, but a biased sample of the the jobs that early career applicants were most focused on applying for, and sharing information about.</w:t>
      </w:r>
    </w:p>
    <w:bookmarkEnd w:id="26"/>
    <w:bookmarkStart w:id="27"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https://doi.org/10.5281/zenodo.14798941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End w:id="28"/>
    <w:bookmarkStart w:id="63"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2" w:name="fig-show-basic-plots"/>
          <w:p>
            <w:pPr>
              <w:pStyle w:val="Compact"/>
              <w:jc w:val="center"/>
            </w:pPr>
            <w:r>
              <w:drawing>
                <wp:inline>
                  <wp:extent cx="5943600" cy="4245428"/>
                  <wp:effectExtent b="0" l="0" r="0" t="0"/>
                  <wp:docPr descr="" title="" id="30" name="Picture"/>
                  <a:graphic>
                    <a:graphicData uri="http://schemas.openxmlformats.org/drawingml/2006/picture">
                      <pic:pic>
                        <pic:nvPicPr>
                          <pic:cNvPr descr="../figures/fig-panel-per-year.png" id="31" name="Picture"/>
                          <pic:cNvPicPr>
                            <a:picLocks noChangeArrowheads="1" noChangeAspect="1"/>
                          </pic:cNvPicPr>
                        </pic:nvPicPr>
                        <pic:blipFill>
                          <a:blip r:embed="rId29"/>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2"/>
        </w:tc>
      </w:tr>
    </w:tbl>
    <w:tbl>
      <w:tblPr>
        <w:tblStyle w:val="Table"/>
        <w:tblW w:type="pct" w:w="5000"/>
        <w:tblLook w:firstRow="0" w:lastRow="0" w:firstColumn="0" w:lastColumn="0" w:noHBand="0" w:noVBand="0" w:val="0000"/>
        <w:jc w:val="start"/>
        <w:tblLayout w:type="fixed"/>
      </w:tblPr>
      <w:tblGrid>
        <w:gridCol w:w="7920"/>
      </w:tblGrid>
      <w:tr>
        <w:tc>
          <w:tcPr/>
          <w:bookmarkStart w:id="33"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3"/>
        </w:tc>
      </w:tr>
    </w:tbl>
    <w:bookmarkStart w:id="38"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7" w:name="Xb6ce60108169ab29fd4ed84e6becc1ec8f0f199"/>
          <w:p>
            <w:pPr>
              <w:pStyle w:val="Compact"/>
              <w:jc w:val="center"/>
            </w:pPr>
            <w:r>
              <w:drawing>
                <wp:inline>
                  <wp:extent cx="5943600" cy="3467100"/>
                  <wp:effectExtent b="0" l="0" r="0" t="0"/>
                  <wp:docPr descr="" title="" id="35" name="Picture"/>
                  <a:graphic>
                    <a:graphicData uri="http://schemas.openxmlformats.org/drawingml/2006/picture">
                      <pic:pic>
                        <pic:nvPicPr>
                          <pic:cNvPr descr="../figures/fig-map-and-carnegie-classification-hand-edit.png" id="36" name="Picture"/>
                          <pic:cNvPicPr>
                            <a:picLocks noChangeArrowheads="1" noChangeAspect="1"/>
                          </pic:cNvPicPr>
                        </pic:nvPicPr>
                        <pic:blipFill>
                          <a:blip r:embed="rId34"/>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7"/>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8"/>
    <w:bookmarkStart w:id="43"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2" w:name="fig-show-geo-trends"/>
          <w:p>
            <w:pPr>
              <w:pStyle w:val="Compact"/>
              <w:jc w:val="center"/>
            </w:pPr>
            <w:r>
              <w:drawing>
                <wp:inline>
                  <wp:extent cx="5943600" cy="7429499"/>
                  <wp:effectExtent b="0" l="0" r="0" t="0"/>
                  <wp:docPr descr="" title="" id="40" name="Picture"/>
                  <a:graphic>
                    <a:graphicData uri="http://schemas.openxmlformats.org/drawingml/2006/picture">
                      <pic:pic>
                        <pic:nvPicPr>
                          <pic:cNvPr descr="../figures/fig-geo-focus-by-year.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2"/>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3"/>
    <w:bookmarkStart w:id="48"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7" w:name="fig-show-metho-trends"/>
          <w:p>
            <w:pPr>
              <w:pStyle w:val="Compact"/>
              <w:jc w:val="center"/>
            </w:pPr>
            <w:r>
              <w:drawing>
                <wp:inline>
                  <wp:extent cx="5943600" cy="7429499"/>
                  <wp:effectExtent b="0" l="0" r="0" t="0"/>
                  <wp:docPr descr="" title="" id="45" name="Picture"/>
                  <a:graphic>
                    <a:graphicData uri="http://schemas.openxmlformats.org/drawingml/2006/picture">
                      <pic:pic>
                        <pic:nvPicPr>
                          <pic:cNvPr descr="../figures/fig-method-focus-by-year.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7"/>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8"/>
    <w:bookmarkStart w:id="57"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2" w:name="fig-show-topi-trends"/>
          <w:p>
            <w:pPr>
              <w:pStyle w:val="Compact"/>
              <w:jc w:val="center"/>
            </w:pPr>
            <w:r>
              <w:drawing>
                <wp:inline>
                  <wp:extent cx="5943600" cy="7429499"/>
                  <wp:effectExtent b="0" l="0" r="0" t="0"/>
                  <wp:docPr descr="" title="" id="50" name="Picture"/>
                  <a:graphic>
                    <a:graphicData uri="http://schemas.openxmlformats.org/drawingml/2006/picture">
                      <pic:pic>
                        <pic:nvPicPr>
                          <pic:cNvPr descr="../figures/fig-topic-focus-by-year.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2"/>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6" w:name="fig-show-cooc"/>
          <w:p>
            <w:pPr>
              <w:pStyle w:val="Compact"/>
              <w:jc w:val="center"/>
            </w:pPr>
            <w:r>
              <w:drawing>
                <wp:inline>
                  <wp:extent cx="5943600" cy="5943600"/>
                  <wp:effectExtent b="0" l="0" r="0" t="0"/>
                  <wp:docPr descr="" title="" id="54" name="Picture"/>
                  <a:graphic>
                    <a:graphicData uri="http://schemas.openxmlformats.org/drawingml/2006/picture">
                      <pic:pic>
                        <pic:nvPicPr>
                          <pic:cNvPr descr="../figures/fig-topic-cooc-heatmap.pn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co-occurrence in job ads.</w:t>
            </w:r>
          </w:p>
          <w:bookmarkEnd w:id="56"/>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7"/>
    <w:bookmarkStart w:id="62"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1" w:name="fig-requirements-over-time"/>
          <w:p>
            <w:pPr>
              <w:pStyle w:val="Compact"/>
              <w:jc w:val="center"/>
            </w:pPr>
            <w:r>
              <w:drawing>
                <wp:inline>
                  <wp:extent cx="5943600" cy="2971800"/>
                  <wp:effectExtent b="0" l="0" r="0" t="0"/>
                  <wp:docPr descr="" title="" id="59" name="Picture"/>
                  <a:graphic>
                    <a:graphicData uri="http://schemas.openxmlformats.org/drawingml/2006/picture">
                      <pic:pic>
                        <pic:nvPicPr>
                          <pic:cNvPr descr="../figures/fig-requirements-per-year.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1"/>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2"/>
    <w:bookmarkEnd w:id="63"/>
    <w:bookmarkStart w:id="64" w:name="discussion"/>
    <w:p>
      <w:pPr>
        <w:pStyle w:val="Heading1"/>
      </w:pPr>
      <w:r>
        <w:t xml:space="preserve">Discussion</w:t>
      </w:r>
    </w:p>
    <w:p>
      <w:pPr>
        <w:pStyle w:val="FirstParagraph"/>
      </w:pPr>
      <w:r>
        <w:t xml:space="preserve">Our study of a decade of tenure-track job ads in archaeology in the U.S. reveals diverse dynamics in the demand for specializations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 Wiki between 2010–2017, Passalacqua noted that approximately one quarter of the 474 ads posted were for adjunct or visiting staff</w:t>
      </w:r>
      <w:r>
        <w:t xml:space="preserve"> </w:t>
      </w:r>
      <w:r>
        <w:t xml:space="preserve">(2018:773)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still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professional precarity,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 2024)</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 it is illegal for U.S.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the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Some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 </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4"/>
    <w:bookmarkStart w:id="65" w:name="conclusion"/>
    <w:p>
      <w:pPr>
        <w:pStyle w:val="Heading1"/>
      </w:pPr>
      <w:r>
        <w:t xml:space="preserve">Conclusion</w:t>
      </w:r>
    </w:p>
    <w:p>
      <w:pPr>
        <w:pStyle w:val="FirstParagraph"/>
      </w:pPr>
      <w:r>
        <w:t xml:space="preserve">The data introduced in this paper were initially collected and analyzed in spring and summer 2024 and the manuscript was drafted in autumn 2024. Between submitting the manuscript and receiving our initial round of revisions in April 2025, the landscape of U.S. higher education has shifted dramatically. The first hundred days of the new federal administration focused on instilling a climate of</w:t>
      </w:r>
      <w:r>
        <w:t xml:space="preserve"> </w:t>
      </w:r>
      <w:r>
        <w:t xml:space="preserve">“</w:t>
      </w:r>
      <w:r>
        <w:t xml:space="preserve">economic precarity and legal uncertainty</w:t>
      </w:r>
      <w:r>
        <w:t xml:space="preserve">”</w:t>
      </w:r>
      <w:r>
        <w:t xml:space="preserve"> </w:t>
      </w:r>
      <w:r>
        <w:t xml:space="preserve">across the sector through a cthuluesque strategy that included withholding federal funding for colleges and universities, decimating the Department of Education, revoking international student visas, and attacking Diversity Equity, and Inclusion (DEI) initiatives as</w:t>
      </w:r>
      <w:r>
        <w:t xml:space="preserve"> </w:t>
      </w:r>
      <w:r>
        <w:t xml:space="preserve">“</w:t>
      </w:r>
      <w:r>
        <w:t xml:space="preserve">unconstitutional</w:t>
      </w:r>
      <w:r>
        <w:t xml:space="preserve">”</w:t>
      </w:r>
      <w:r>
        <w:t xml:space="preserve"> </w:t>
      </w:r>
      <w:r>
        <w:t xml:space="preserve">(Knox and Alonso 2025)</w:t>
      </w:r>
      <w:r>
        <w:t xml:space="preserve">. This deliberately destabilizing</w:t>
      </w:r>
      <w:r>
        <w:t xml:space="preserve"> </w:t>
      </w:r>
      <w:r>
        <w:t xml:space="preserve">“</w:t>
      </w:r>
      <w:r>
        <w:t xml:space="preserve">flood the zone</w:t>
      </w:r>
      <w:r>
        <w:t xml:space="preserve">”</w:t>
      </w:r>
      <w:r>
        <w:t xml:space="preserve"> </w:t>
      </w:r>
      <w:r>
        <w:t xml:space="preserve">approach</w:t>
      </w:r>
      <w:r>
        <w:t xml:space="preserve"> </w:t>
      </w:r>
      <w:r>
        <w:t xml:space="preserve">(Broadwater 2025)</w:t>
      </w:r>
      <w:r>
        <w:t xml:space="preserve"> </w:t>
      </w:r>
      <w:r>
        <w:t xml:space="preserve">shows no signs of abating. In April 2025, the U.S. president signed an executive order to overhaul the higher education accreditation system</w:t>
      </w:r>
      <w:r>
        <w:t xml:space="preserve"> </w:t>
      </w:r>
      <w:r>
        <w:t xml:space="preserve">(The White House 2025)</w:t>
      </w:r>
      <w:r>
        <w:t xml:space="preserve">, signifying the administration’s continued commitment to align higher education institutions to its ideological agenda.</w:t>
      </w:r>
    </w:p>
    <w:p>
      <w:pPr>
        <w:pStyle w:val="BodyText"/>
      </w:pPr>
      <w:r>
        <w:t xml:space="preserve">Such challenges to the autonomy and self-governance in higher education are particularly remarkable given that many architects of the current administration hold degrees from the very institutions they are attempting to dismantle, from Donald Trump (Wharton School of Business), to J.D. Vance (Yale Law School), Chris Rufo (Georgetown), Stephen Miller (Duke University), and Peter Hegseth (Harvard Kennedy School). Reviewing the profiles of the board of trustees for the Heritage Foundation—the conservative think tank which generated the Project 2025 report that has been used as a blueprint for feeding U.S. higher education</w:t>
      </w:r>
      <w:r>
        <w:t xml:space="preserve"> </w:t>
      </w:r>
      <w:r>
        <w:t xml:space="preserve">“</w:t>
      </w:r>
      <w:r>
        <w:t xml:space="preserve">into a woodchipper</w:t>
      </w:r>
      <w:r>
        <w:t xml:space="preserve">”</w:t>
      </w:r>
      <w:r>
        <w:t xml:space="preserve"> </w:t>
      </w:r>
      <w:r>
        <w:t xml:space="preserve">(Kunder 2025)—is also illustrative. Two thirds of the trustees on the Heritage Foundation board have advanced degrees, while one third have doctoral degrees from institutions such as Harvard, Oxford, the University of Colorado, and the University of Texas. Lindsey Burke, who authored the Project 2025 chapter on the Department of Education, holds a PhD from George Mason University. Such career trajectories are a testament to the elite chiasmus that decries the merits and value of higher education while leveraging the credentials granted by elite institutions for professional gain. As Ho notes of the parallel systems of credentialing that undergird the ideology of</w:t>
      </w:r>
      <w:r>
        <w:t xml:space="preserve"> </w:t>
      </w:r>
      <w:r>
        <w:t xml:space="preserve">“</w:t>
      </w:r>
      <w:r>
        <w:t xml:space="preserve">smartness</w:t>
      </w:r>
      <w:r>
        <w:t xml:space="preserve">”</w:t>
      </w:r>
      <w:r>
        <w:t xml:space="preserve"> </w:t>
      </w:r>
      <w:r>
        <w:t xml:space="preserve">among Wall Street investment banks, playing the role of</w:t>
      </w:r>
      <w:r>
        <w:t xml:space="preserve"> </w:t>
      </w:r>
      <w:r>
        <w:t xml:space="preserve">“</w:t>
      </w:r>
      <w:r>
        <w:t xml:space="preserve">master of the universe</w:t>
      </w:r>
      <w:r>
        <w:t xml:space="preserve">”</w:t>
      </w:r>
      <w:r>
        <w:t xml:space="preserve"> </w:t>
      </w:r>
      <w:r>
        <w:t xml:space="preserve">requires both</w:t>
      </w:r>
      <w:r>
        <w:t xml:space="preserve"> </w:t>
      </w:r>
      <w:r>
        <w:t xml:space="preserve">“</w:t>
      </w:r>
      <w:r>
        <w:t xml:space="preserve">especially strong doses of self-confidence and institutional legitimation</w:t>
      </w:r>
      <w:r>
        <w:t xml:space="preserve">”</w:t>
      </w:r>
      <w:r>
        <w:t xml:space="preserve"> </w:t>
      </w:r>
      <w:r>
        <w:t xml:space="preserve">(2009:41)</w:t>
      </w:r>
      <w:r>
        <w:t xml:space="preserve">. Even archaeology is susceptible to the power and pull of such prestige hierarchies, which influence everything from hiring networks</w:t>
      </w:r>
      <w:r>
        <w:t xml:space="preserve"> </w:t>
      </w:r>
      <w:r>
        <w:t xml:space="preserve">(Kawa et al. 2019; Speakman, Hadden, Colvin, Cramb, Jones, Jones, Lulewicz, et al. 2018)</w:t>
      </w:r>
      <w:r>
        <w:t xml:space="preserve"> </w:t>
      </w:r>
      <w:r>
        <w:t xml:space="preserve">to publishing decisions</w:t>
      </w:r>
      <w:r>
        <w:t xml:space="preserve"> </w:t>
      </w:r>
      <w:r>
        <w:t xml:space="preserve">(Beck et al. 2021)</w:t>
      </w:r>
      <w:r>
        <w:t xml:space="preserve"> </w:t>
      </w:r>
      <w:r>
        <w:t xml:space="preserve">to research design</w:t>
      </w:r>
      <w:r>
        <w:t xml:space="preserve"> </w:t>
      </w:r>
      <w:r>
        <w:t xml:space="preserve">(Wobst and Keene 1983)</w:t>
      </w:r>
      <w:r>
        <w:t xml:space="preserve">.</w:t>
      </w:r>
    </w:p>
    <w:p>
      <w:pPr>
        <w:pStyle w:val="BodyText"/>
      </w:pPr>
      <w:r>
        <w:t xml:space="preserve">To echo Paul Farmer,</w:t>
      </w:r>
      <w:r>
        <w:t xml:space="preserve"> </w:t>
      </w:r>
      <w:r>
        <w:t xml:space="preserve">“</w:t>
      </w:r>
      <w:r>
        <w:t xml:space="preserve">all this is both interesting and horrible</w:t>
      </w:r>
      <w:r>
        <w:t xml:space="preserve">”</w:t>
      </w:r>
      <w:r>
        <w:t xml:space="preserve"> </w:t>
      </w:r>
      <w:r>
        <w:t xml:space="preserve">(2004:316)</w:t>
      </w:r>
      <w:r>
        <w:t xml:space="preserve">. Contextualizing our job ad findings in this sociopolitical tumult provokes a suite of new questions about academic futures. Many archaeologists now have urgent concerns about what topics are likely to be</w:t>
      </w:r>
      <w:r>
        <w:t xml:space="preserve"> </w:t>
      </w:r>
      <w:r>
        <w:t xml:space="preserve">“</w:t>
      </w:r>
      <w:r>
        <w:t xml:space="preserve">safe</w:t>
      </w:r>
      <w:r>
        <w:t xml:space="preserve">”</w:t>
      </w:r>
      <w:r>
        <w:t xml:space="preserve"> </w:t>
      </w:r>
      <w:r>
        <w:t xml:space="preserve">and lead to secure ongoing employment, considering the current political and funding landscape. Will states with stronger cultural and environmental regulations offer more stability in employment, and if so, which states are likely to be the safest? These are legitimate and crucial questions, but predicting the future goes beyond the scope of our examination of the past decade of hiring dynamics in academic archaeology. Extrapolating future trends is inherently uncertain, especially in a mercurial political and economic landscape that is experiencing tectonic shifts in bureaucracy, organization, and funding on a near-weekly basis. Our study does, however, point to at least four findings that have implications for the next ten years of hiring, despite the turbulent political climate of 2024–2025.</w:t>
      </w:r>
    </w:p>
    <w:p>
      <w:pPr>
        <w:pStyle w:val="BodyText"/>
      </w:pPr>
      <w:r>
        <w:t xml:space="preserve">First, the macroeconomic uncertainty induced by the increased tariffs introduced in early 2025 is likely to have both short-term and long-term implications that slow economic growth</w:t>
      </w:r>
      <w:r>
        <w:t xml:space="preserve"> </w:t>
      </w:r>
      <w:r>
        <w:t xml:space="preserve">(Schneider 2025)</w:t>
      </w:r>
      <w:r>
        <w:t xml:space="preserve">, with effects that will seep into the higher education sector. The last two periods of major economic upheaval in the U.S.—the Great Recession and the COVID-19 pandemic—had pronounced and negative consequences for colleges and universities. These consequences were visible even within academic archaeology.</w:t>
      </w:r>
      <w:r>
        <w:t xml:space="preserve"> </w:t>
      </w:r>
      <w:r>
        <w:t xml:space="preserve">Speakman, Hadden, Colvin, Cramb, Jones, Jones, Lulewicz, et al. (2018)</w:t>
      </w:r>
      <w:r>
        <w:t xml:space="preserve">, for example, show the precipitous decline in the proportion of PhDs hired into tenure-track anthropology departments after the last recession (see the steep decline in Figure 5 between 2007 and 2009), resulting in the</w:t>
      </w:r>
      <w:r>
        <w:t xml:space="preserve"> </w:t>
      </w:r>
      <w:r>
        <w:t xml:space="preserve">“</w:t>
      </w:r>
      <w:r>
        <w:t xml:space="preserve">increased use of [non-tenure track faculty] by higher education institutions, and more anthropology doctorates entering the workforce</w:t>
      </w:r>
      <w:r>
        <w:t xml:space="preserve">”</w:t>
      </w:r>
      <w:r>
        <w:t xml:space="preserve"> </w:t>
      </w:r>
      <w:r>
        <w:t xml:space="preserve">(2018:12)</w:t>
      </w:r>
      <w:r>
        <w:t xml:space="preserve">. As our results demonstrate, during academic year 2020–2021, only 12 tenure-track jobs in archaeology were posted on the Wiki, a 70% decrease relative to the mean of 39 per year posted during our survey period</w:t>
      </w:r>
      <w:r>
        <w:t xml:space="preserve"> </w:t>
      </w:r>
      <w:hyperlink w:anchor="tbl-show-basic-counts">
        <w:r>
          <w:rPr>
            <w:rStyle w:val="Hyperlink"/>
          </w:rPr>
          <w:t xml:space="preserve">Table 1</w:t>
        </w:r>
      </w:hyperlink>
      <w:r>
        <w:t xml:space="preserve">. As</w:t>
      </w:r>
      <w:r>
        <w:t xml:space="preserve"> </w:t>
      </w:r>
      <w:r>
        <w:t xml:space="preserve">Knox and Alonso (2025)</w:t>
      </w:r>
      <w:r>
        <w:t xml:space="preserve"> </w:t>
      </w:r>
      <w:r>
        <w:t xml:space="preserve">highlight, hiring freezes and program cuts are already coming into effect just four months into the new administration. Given past patterns, it is likely that increased tariffs will result in tenure-track positions in academic archaeology becoming even more scarce, and faculty and students should prepare for this. Whether this signals a death knell for the discipline or an opportunity for re-envisioning and reconfiguring the field</w:t>
      </w:r>
      <w:r>
        <w:t xml:space="preserve"> </w:t>
      </w:r>
      <w:r>
        <w:t xml:space="preserve">(Cefkin and Schwegler 2024)</w:t>
      </w:r>
      <w:r>
        <w:t xml:space="preserve"> </w:t>
      </w:r>
      <w:r>
        <w:t xml:space="preserve">is up for debate.</w:t>
      </w:r>
    </w:p>
    <w:p>
      <w:pPr>
        <w:pStyle w:val="BodyText"/>
      </w:pPr>
      <w:r>
        <w:t xml:space="preserve">Second, our results show that hiring in academic archaeology is responsive to larger cultural and political shifts. The increased popularity of Indigenous and historical archaeology from 2019–2021 reflects the prominence and impact of movements such as Black Lives Matter and a then-growing interest in conversations about race and national history. The continual responsiveness to current events revealed by our analysis of archaeology job ads demonstrates that our narratives of the past are entangled in the social and political milieu in which we work. This finding is consistent with previous work—</w:t>
      </w:r>
      <w:r>
        <w:t xml:space="preserve">Trigger (1984)</w:t>
      </w:r>
      <w:r>
        <w:t xml:space="preserve"> </w:t>
      </w:r>
      <w:r>
        <w:t xml:space="preserve">outlined how archaeological research programs are shaped by national histories, while</w:t>
      </w:r>
      <w:r>
        <w:t xml:space="preserve"> </w:t>
      </w:r>
      <w:r>
        <w:t xml:space="preserve">Soffer (1983)</w:t>
      </w:r>
      <w:r>
        <w:t xml:space="preserve">,</w:t>
      </w:r>
      <w:r>
        <w:t xml:space="preserve"> </w:t>
      </w:r>
      <w:r>
        <w:t xml:space="preserve">Blakey (1983)</w:t>
      </w:r>
      <w:r>
        <w:t xml:space="preserve">,</w:t>
      </w:r>
      <w:r>
        <w:t xml:space="preserve"> </w:t>
      </w:r>
      <w:r>
        <w:t xml:space="preserve">Meltzer (1983)</w:t>
      </w:r>
      <w:r>
        <w:t xml:space="preserve">, and</w:t>
      </w:r>
      <w:r>
        <w:t xml:space="preserve"> </w:t>
      </w:r>
      <w:r>
        <w:t xml:space="preserve">Wilk (1985)</w:t>
      </w:r>
      <w:r>
        <w:t xml:space="preserve"> </w:t>
      </w:r>
      <w:r>
        <w:t xml:space="preserve">have interrogated the entanglement of identity, ideology, national history, politics, and archaeology across space and time. Our study of job ads shows an active effort by archaeologists to take control of interpreting the past, offering an example of how disciplinary choices can shape archaeological research programs. That said, in early 2025 many researchers had their work disrupted by cancellations of funding from the U.S. National Science Foundation if their projects contained certain keywords</w:t>
      </w:r>
      <w:r>
        <w:t xml:space="preserve"> </w:t>
      </w:r>
      <w:r>
        <w:t xml:space="preserve">(Mervis 2025)</w:t>
      </w:r>
      <w:r>
        <w:t xml:space="preserve">, and others were told to cease activities if their projects contain keywords such as</w:t>
      </w:r>
      <w:r>
        <w:t xml:space="preserve"> </w:t>
      </w:r>
      <w:r>
        <w:t xml:space="preserve">“</w:t>
      </w:r>
      <w:r>
        <w:t xml:space="preserve">cultural relevance,</w:t>
      </w:r>
      <w:r>
        <w:t xml:space="preserve">”</w:t>
      </w:r>
      <w:r>
        <w:t xml:space="preserve"> </w:t>
      </w:r>
      <w:r>
        <w:t xml:space="preserve">“</w:t>
      </w:r>
      <w:r>
        <w:t xml:space="preserve">institutional,</w:t>
      </w:r>
      <w:r>
        <w:t xml:space="preserve">”</w:t>
      </w:r>
      <w:r>
        <w:t xml:space="preserve"> </w:t>
      </w:r>
      <w:r>
        <w:t xml:space="preserve">“</w:t>
      </w:r>
      <w:r>
        <w:t xml:space="preserve">historically,</w:t>
      </w:r>
      <w:r>
        <w:t xml:space="preserve">”</w:t>
      </w:r>
      <w:r>
        <w:t xml:space="preserve"> </w:t>
      </w:r>
      <w:r>
        <w:t xml:space="preserve">“</w:t>
      </w:r>
      <w:r>
        <w:t xml:space="preserve">socioeconomic,</w:t>
      </w:r>
      <w:r>
        <w:t xml:space="preserve">”</w:t>
      </w:r>
      <w:r>
        <w:t xml:space="preserve"> </w:t>
      </w:r>
      <w:r>
        <w:t xml:space="preserve">and</w:t>
      </w:r>
      <w:r>
        <w:t xml:space="preserve"> </w:t>
      </w:r>
      <w:r>
        <w:t xml:space="preserve">“</w:t>
      </w:r>
      <w:r>
        <w:t xml:space="preserve">systemic</w:t>
      </w:r>
      <w:r>
        <w:t xml:space="preserve">”</w:t>
      </w:r>
      <w:r>
        <w:t xml:space="preserve"> </w:t>
      </w:r>
      <w:r>
        <w:t xml:space="preserve">(Johnson et al. 2025)</w:t>
      </w:r>
      <w:r>
        <w:t xml:space="preserve">. This unprecedented keyword vetting suggests that future topical shifts in archaeological research may be as much an individual response to top-down funding pressures</w:t>
      </w:r>
      <w:r>
        <w:t xml:space="preserve"> </w:t>
      </w:r>
      <w:r>
        <w:t xml:space="preserve">(cf. Wobst and Keene 1983)</w:t>
      </w:r>
      <w:r>
        <w:t xml:space="preserve"> </w:t>
      </w:r>
      <w:r>
        <w:t xml:space="preserve">as a disciplinary response to the current historical moment.</w:t>
      </w:r>
    </w:p>
    <w:p>
      <w:pPr>
        <w:pStyle w:val="BodyText"/>
      </w:pPr>
      <w:r>
        <w:t xml:space="preserve">Third, the high chronological resolution of our analysis relative to previous studies of disciplinary trends</w:t>
      </w:r>
      <w:r>
        <w:t xml:space="preserve"> </w:t>
      </w:r>
      <w:r>
        <w:t xml:space="preserve">(e.g. Lyman 2010)</w:t>
      </w:r>
      <w:r>
        <w:t xml:space="preserve"> </w:t>
      </w:r>
      <w:r>
        <w:t xml:space="preserve">shows that the rise and fall of some of the foci we observed span relatively short periods of time. This limits the predictive power of our results and has implications for prospective graduate students and their mentors. A topic that is growing in popularity as a student begins their PhD may have peaked and be in decline before they graduate. Methods seem to have a much lower frequency of change in popularity relative to topical and geographic foci. One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 in generating data from material records of past human behaviour.</w:t>
      </w:r>
    </w:p>
    <w:p>
      <w:pPr>
        <w:pStyle w:val="BodyText"/>
      </w:pPr>
      <w:r>
        <w:t xml:space="preserve">Finally, our work also reveals the market forces that shaped the early careers of the next generation of academic mentors. Assistant and associate professors who experienced the academic market as job seekers themselves between 2012–2023 probably anticipate that their students will need publications, external grants, teaching experience, interview preparation, extensive and tailored portfolios of job markets, and the ability to spend many years on the market before obtaining a permanent position, if they obtain one at all. This raises the question of whether mentors’ experiences on a market characterized by a recession and a pandemic will be enough to guide their students through the volatility of the next decade, and how they should update their programs to prepare their graduates for success.</w:t>
      </w:r>
    </w:p>
    <w:bookmarkEnd w:id="65"/>
    <w:bookmarkStart w:id="66"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6"/>
    <w:bookmarkStart w:id="67" w:name="data-availability-statement"/>
    <w:p>
      <w:pPr>
        <w:pStyle w:val="Heading1"/>
      </w:pPr>
      <w:r>
        <w:t xml:space="preserve">Data Availability Statement</w:t>
      </w:r>
    </w:p>
    <w:p>
      <w:pPr>
        <w:pStyle w:val="FirstParagraph"/>
      </w:pPr>
      <w:r>
        <w:t xml:space="preserve">The data that support the findings of this study are openly available in Zenodo at https://doi.org/10.5281/zenodo.14798941</w:t>
      </w:r>
    </w:p>
    <w:bookmarkEnd w:id="67"/>
    <w:bookmarkStart w:id="68"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8"/>
    <w:bookmarkStart w:id="69" w:name="competing-interests-statement"/>
    <w:p>
      <w:pPr>
        <w:pStyle w:val="Heading1"/>
      </w:pPr>
      <w:r>
        <w:t xml:space="preserve">Competing Interests Statement</w:t>
      </w:r>
    </w:p>
    <w:p>
      <w:pPr>
        <w:pStyle w:val="FirstParagraph"/>
      </w:pPr>
      <w:r>
        <w:t xml:space="preserve">Competing interests: The authors declare none</w:t>
      </w:r>
    </w:p>
    <w:bookmarkEnd w:id="69"/>
    <w:bookmarkStart w:id="70" w:name="supplementary-materials"/>
    <w:p>
      <w:pPr>
        <w:pStyle w:val="Heading1"/>
      </w:pPr>
      <w:r>
        <w:t xml:space="preserve">Supplementary materials</w:t>
      </w:r>
    </w:p>
    <w:p>
      <w:pPr>
        <w:pStyle w:val="FirstParagraph"/>
      </w:pPr>
      <w:r>
        <w:t xml:space="preserve">Our supplementary materials are available at https://doi.org/10.5281/zenodo.14798941</w:t>
      </w:r>
    </w:p>
    <w:p>
      <w:r>
        <w:br w:type="page"/>
      </w:r>
    </w:p>
    <w:bookmarkEnd w:id="70"/>
    <w:bookmarkStart w:id="201" w:name="references-cited"/>
    <w:p>
      <w:pPr>
        <w:pStyle w:val="Heading1"/>
      </w:pPr>
      <w:r>
        <w:t xml:space="preserve">References cited</w:t>
      </w:r>
    </w:p>
    <w:bookmarkStart w:id="199" w:name="refs"/>
    <w:bookmarkStart w:id="72"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1">
        <w:r>
          <w:rPr>
            <w:rStyle w:val="Hyperlink"/>
          </w:rPr>
          <w:t xml:space="preserve">https://employers.americananthro.org/static-page/10285/job-board-policies/</w:t>
        </w:r>
      </w:hyperlink>
      <w:r>
        <w:t xml:space="preserve">, accessed January 26, 2025.</w:t>
      </w:r>
    </w:p>
    <w:bookmarkEnd w:id="72"/>
    <w:bookmarkStart w:id="74"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3">
        <w:r>
          <w:rPr>
            <w:rStyle w:val="Hyperlink"/>
          </w:rPr>
          <w:t xml:space="preserve">https://www.aaup.org/report/annual-report-economic-status-profession-2021-22</w:t>
        </w:r>
      </w:hyperlink>
      <w:r>
        <w:t xml:space="preserve">, accessed January 26, 2025.</w:t>
      </w:r>
    </w:p>
    <w:bookmarkEnd w:id="74"/>
    <w:bookmarkStart w:id="76"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5">
        <w:r>
          <w:rPr>
            <w:rStyle w:val="Hyperlink"/>
          </w:rPr>
          <w:t xml:space="preserve">https://www.aaup.org/report/2022-aaup-survey-tenure-practices</w:t>
        </w:r>
      </w:hyperlink>
      <w:r>
        <w:t xml:space="preserve">, accessed January 26, 2025.</w:t>
      </w:r>
    </w:p>
    <w:bookmarkEnd w:id="76"/>
    <w:bookmarkStart w:id="77" w:name="ref-aronowitz2001"/>
    <w:p>
      <w:pPr>
        <w:pStyle w:val="Bibliography"/>
      </w:pPr>
      <w:r>
        <w:t xml:space="preserve">Aronowitz, Stanley</w:t>
      </w:r>
      <w:r>
        <w:t xml:space="preserve"> </w:t>
      </w:r>
      <w:r>
        <w:t xml:space="preserve">2001</w:t>
      </w:r>
      <w:r>
        <w:t xml:space="preserve">	</w:t>
      </w:r>
      <w:r>
        <w:rPr>
          <w:iCs/>
          <w:i/>
        </w:rPr>
        <w:t xml:space="preserve">The last good job in america : Work and education in the new global technoculture</w:t>
      </w:r>
      <w:r>
        <w:t xml:space="preserve">. Critical perspectives series. Rowman &amp; Littlefield : Distributed by National Book Network, Lanham, Md.</w:t>
      </w:r>
    </w:p>
    <w:bookmarkEnd w:id="77"/>
    <w:bookmarkStart w:id="79"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8">
        <w:r>
          <w:rPr>
            <w:rStyle w:val="Hyperlink"/>
          </w:rPr>
          <w:t xml:space="preserve">10.1111/j.1460-2466.2010.01487.x</w:t>
        </w:r>
      </w:hyperlink>
      <w:r>
        <w:t xml:space="preserve">.</w:t>
      </w:r>
    </w:p>
    <w:bookmarkEnd w:id="79"/>
    <w:bookmarkStart w:id="80"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80"/>
    <w:bookmarkStart w:id="81"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81"/>
    <w:bookmarkStart w:id="83" w:name="ref-beck2021"/>
    <w:p>
      <w:pPr>
        <w:pStyle w:val="Bibliography"/>
      </w:pPr>
      <w:r>
        <w:t xml:space="preserve">Beck, Jess, Erik Gjesfjeld, and Stephen Chrisomalis</w:t>
      </w:r>
      <w:r>
        <w:t xml:space="preserve"> </w:t>
      </w:r>
      <w:r>
        <w:t xml:space="preserve">2021</w:t>
      </w:r>
      <w:r>
        <w:t xml:space="preserve">	</w:t>
      </w:r>
      <w:r>
        <w:t xml:space="preserve">Prestige or Perish: Publishing Decisions in Academic Archaeology.</w:t>
      </w:r>
      <w:r>
        <w:t xml:space="preserve"> </w:t>
      </w:r>
      <w:r>
        <w:rPr>
          <w:iCs/>
          <w:i/>
        </w:rPr>
        <w:t xml:space="preserve">American Antiquity</w:t>
      </w:r>
      <w:r>
        <w:t xml:space="preserve"> </w:t>
      </w:r>
      <w:r>
        <w:t xml:space="preserve">86(4):669–695. DOI:</w:t>
      </w:r>
      <w:hyperlink r:id="rId82">
        <w:r>
          <w:rPr>
            <w:rStyle w:val="Hyperlink"/>
          </w:rPr>
          <w:t xml:space="preserve">10.1017/aaq.2021.64</w:t>
        </w:r>
      </w:hyperlink>
      <w:r>
        <w:t xml:space="preserve">.</w:t>
      </w:r>
    </w:p>
    <w:bookmarkEnd w:id="83"/>
    <w:bookmarkStart w:id="84"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4"/>
    <w:bookmarkStart w:id="85" w:name="ref-blakey1983"/>
    <w:p>
      <w:pPr>
        <w:pStyle w:val="Bibliography"/>
      </w:pPr>
      <w:r>
        <w:t xml:space="preserve">Blakey, Michael</w:t>
      </w:r>
      <w:r>
        <w:t xml:space="preserve"> </w:t>
      </w:r>
      <w:r>
        <w:t xml:space="preserve">1983</w:t>
      </w:r>
      <w:r>
        <w:t xml:space="preserve">	</w:t>
      </w:r>
      <w:r>
        <w:t xml:space="preserve">Socio-political bias and ideological production in historical archaeology. In, edited by Joan M. Gero, David M. Lacy, and Michael L. Blakey, pp. 5–16. Research reports, department of anthropology. University of Massachusetts, Amherst.</w:t>
      </w:r>
    </w:p>
    <w:bookmarkEnd w:id="85"/>
    <w:bookmarkStart w:id="87"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6">
        <w:r>
          <w:rPr>
            <w:rStyle w:val="Hyperlink"/>
          </w:rPr>
          <w:t xml:space="preserve">10.1017/eaa.2022.41</w:t>
        </w:r>
      </w:hyperlink>
      <w:r>
        <w:t xml:space="preserve">.</w:t>
      </w:r>
    </w:p>
    <w:bookmarkEnd w:id="87"/>
    <w:bookmarkStart w:id="89" w:name="ref-broadwater2025"/>
    <w:p>
      <w:pPr>
        <w:pStyle w:val="Bibliography"/>
      </w:pPr>
      <w:r>
        <w:t xml:space="preserve">Broadwater, Luke</w:t>
      </w:r>
      <w:r>
        <w:t xml:space="preserve"> </w:t>
      </w:r>
      <w:r>
        <w:t xml:space="preserve">2025</w:t>
      </w:r>
      <w:r>
        <w:t xml:space="preserve">	</w:t>
      </w:r>
      <w:hyperlink r:id="rId88">
        <w:r>
          <w:rPr>
            <w:rStyle w:val="Hyperlink"/>
          </w:rPr>
          <w:t xml:space="preserve">Trump</w:t>
        </w:r>
        <w:r>
          <w:rPr>
            <w:rStyle w:val="Hyperlink"/>
          </w:rPr>
          <w:t xml:space="preserve">’</w:t>
        </w:r>
        <w:r>
          <w:rPr>
            <w:rStyle w:val="Hyperlink"/>
          </w:rPr>
          <w:t xml:space="preserve">s</w:t>
        </w:r>
        <w:r>
          <w:rPr>
            <w:rStyle w:val="Hyperlink"/>
          </w:rPr>
          <w:t xml:space="preserve"> </w:t>
        </w:r>
        <w:r>
          <w:rPr>
            <w:rStyle w:val="Hyperlink"/>
          </w:rPr>
          <w:t xml:space="preserve">‘</w:t>
        </w:r>
        <w:r>
          <w:rPr>
            <w:rStyle w:val="Hyperlink"/>
          </w:rPr>
          <w:t xml:space="preserve">flood the zone</w:t>
        </w:r>
        <w:r>
          <w:rPr>
            <w:rStyle w:val="Hyperlink"/>
          </w:rPr>
          <w:t xml:space="preserve">’</w:t>
        </w:r>
        <w:r>
          <w:rPr>
            <w:rStyle w:val="Hyperlink"/>
          </w:rPr>
          <w:t xml:space="preserve"> </w:t>
        </w:r>
        <w:r>
          <w:rPr>
            <w:rStyle w:val="Hyperlink"/>
          </w:rPr>
          <w:t xml:space="preserve">strategy leaves opponents gasping in outrage</w:t>
        </w:r>
      </w:hyperlink>
      <w:r>
        <w:t xml:space="preserve">.</w:t>
      </w:r>
      <w:r>
        <w:t xml:space="preserve"> </w:t>
      </w:r>
      <w:r>
        <w:rPr>
          <w:iCs/>
          <w:i/>
        </w:rPr>
        <w:t xml:space="preserve">The New York Times</w:t>
      </w:r>
      <w:r>
        <w:t xml:space="preserve">.</w:t>
      </w:r>
    </w:p>
    <w:bookmarkEnd w:id="89"/>
    <w:bookmarkStart w:id="91"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90">
        <w:r>
          <w:rPr>
            <w:rStyle w:val="Hyperlink"/>
          </w:rPr>
          <w:t xml:space="preserve">10.48550/arXiv.1803.00125</w:t>
        </w:r>
      </w:hyperlink>
      <w:r>
        <w:t xml:space="preserve">.</w:t>
      </w:r>
    </w:p>
    <w:bookmarkEnd w:id="91"/>
    <w:bookmarkStart w:id="93" w:name="ref-cefkin"/>
    <w:p>
      <w:pPr>
        <w:pStyle w:val="Bibliography"/>
      </w:pPr>
      <w:r>
        <w:t xml:space="preserve">Cefkin, Melissa, and Tara Schwegler</w:t>
      </w:r>
      <w:r>
        <w:t xml:space="preserve"> </w:t>
      </w:r>
      <w:r>
        <w:t xml:space="preserve">2024</w:t>
      </w:r>
      <w:r>
        <w:t xml:space="preserve">	</w:t>
      </w:r>
      <w:hyperlink r:id="rId92">
        <w:r>
          <w:rPr>
            <w:rStyle w:val="Hyperlink"/>
          </w:rPr>
          <w:t xml:space="preserve">A nonapocalyptic vision of graduate education</w:t>
        </w:r>
        <w:r>
          <w:rPr>
            <w:rStyle w:val="Hyperlink"/>
          </w:rPr>
          <w:t xml:space="preserve">’</w:t>
        </w:r>
        <w:r>
          <w:rPr>
            <w:rStyle w:val="Hyperlink"/>
          </w:rPr>
          <w:t xml:space="preserve">s future</w:t>
        </w:r>
      </w:hyperlink>
      <w:r>
        <w:t xml:space="preserve">.</w:t>
      </w:r>
      <w:r>
        <w:t xml:space="preserve"> </w:t>
      </w:r>
      <w:r>
        <w:rPr>
          <w:iCs/>
          <w:i/>
        </w:rPr>
        <w:t xml:space="preserve">Inside Higher Ed</w:t>
      </w:r>
      <w:r>
        <w:t xml:space="preserve">.</w:t>
      </w:r>
    </w:p>
    <w:bookmarkEnd w:id="93"/>
    <w:bookmarkStart w:id="95"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94">
        <w:r>
          <w:rPr>
            <w:rStyle w:val="Hyperlink"/>
          </w:rPr>
          <w:t xml:space="preserve">10.1126/sciadv.1400005</w:t>
        </w:r>
      </w:hyperlink>
      <w:r>
        <w:t xml:space="preserve">.</w:t>
      </w:r>
    </w:p>
    <w:bookmarkEnd w:id="95"/>
    <w:bookmarkStart w:id="97"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96">
        <w:r>
          <w:rPr>
            <w:rStyle w:val="Hyperlink"/>
          </w:rPr>
          <w:t xml:space="preserve">10.1017/aap.2022.8</w:t>
        </w:r>
      </w:hyperlink>
      <w:r>
        <w:t xml:space="preserve">, accessed October 16, 2024.</w:t>
      </w:r>
    </w:p>
    <w:bookmarkEnd w:id="97"/>
    <w:bookmarkStart w:id="99" w:name="ref-culver"/>
    <w:p>
      <w:pPr>
        <w:pStyle w:val="Bibliography"/>
      </w:pPr>
      <w:r>
        <w:t xml:space="preserve">Culver, KC, and Adrianna Kezar</w:t>
      </w:r>
      <w:r>
        <w:t xml:space="preserve"> </w:t>
      </w:r>
      <w:r>
        <w:t xml:space="preserve">2022</w:t>
      </w:r>
      <w:r>
        <w:t xml:space="preserve">	</w:t>
      </w:r>
      <w:hyperlink r:id="rId98">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9"/>
    <w:bookmarkStart w:id="101"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100">
        <w:r>
          <w:rPr>
            <w:rStyle w:val="Hyperlink"/>
          </w:rPr>
          <w:t xml:space="preserve">10.1111/aman.13781</w:t>
        </w:r>
      </w:hyperlink>
      <w:r>
        <w:t xml:space="preserve">, accessed October 22, 2024.</w:t>
      </w:r>
    </w:p>
    <w:bookmarkEnd w:id="101"/>
    <w:bookmarkStart w:id="103"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102">
        <w:r>
          <w:rPr>
            <w:rStyle w:val="Hyperlink"/>
          </w:rPr>
          <w:t xml:space="preserve">10.1073/pnas.2117320119</w:t>
        </w:r>
      </w:hyperlink>
      <w:r>
        <w:t xml:space="preserve">.</w:t>
      </w:r>
    </w:p>
    <w:bookmarkEnd w:id="103"/>
    <w:bookmarkStart w:id="104"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104"/>
    <w:bookmarkStart w:id="106" w:name="ref-farmer2004"/>
    <w:p>
      <w:pPr>
        <w:pStyle w:val="Bibliography"/>
      </w:pPr>
      <w:r>
        <w:t xml:space="preserve">Farmer, Paul</w:t>
      </w:r>
      <w:r>
        <w:t xml:space="preserve"> </w:t>
      </w:r>
      <w:r>
        <w:t xml:space="preserve">2004</w:t>
      </w:r>
      <w:r>
        <w:t xml:space="preserve">	</w:t>
      </w:r>
      <w:r>
        <w:t xml:space="preserve">An Anthropology of Structural Violence.</w:t>
      </w:r>
      <w:r>
        <w:t xml:space="preserve"> </w:t>
      </w:r>
      <w:r>
        <w:rPr>
          <w:iCs/>
          <w:i/>
        </w:rPr>
        <w:t xml:space="preserve">Current Anthropology</w:t>
      </w:r>
      <w:r>
        <w:t xml:space="preserve"> </w:t>
      </w:r>
      <w:r>
        <w:t xml:space="preserve">45(3):305–325. DOI:</w:t>
      </w:r>
      <w:hyperlink r:id="rId105">
        <w:r>
          <w:rPr>
            <w:rStyle w:val="Hyperlink"/>
          </w:rPr>
          <w:t xml:space="preserve">10.1086/382250</w:t>
        </w:r>
      </w:hyperlink>
      <w:r>
        <w:t xml:space="preserve">.</w:t>
      </w:r>
    </w:p>
    <w:bookmarkEnd w:id="106"/>
    <w:bookmarkStart w:id="108"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107">
        <w:r>
          <w:rPr>
            <w:rStyle w:val="Hyperlink"/>
          </w:rPr>
          <w:t xml:space="preserve">10.1007/s11192-021-03917-y</w:t>
        </w:r>
      </w:hyperlink>
      <w:r>
        <w:t xml:space="preserve">.</w:t>
      </w:r>
    </w:p>
    <w:bookmarkEnd w:id="108"/>
    <w:bookmarkStart w:id="110"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9">
        <w:r>
          <w:rPr>
            <w:rStyle w:val="Hyperlink"/>
          </w:rPr>
          <w:t xml:space="preserve">10.1017/aaq.2021.18</w:t>
        </w:r>
      </w:hyperlink>
      <w:r>
        <w:t xml:space="preserve">.</w:t>
      </w:r>
    </w:p>
    <w:bookmarkEnd w:id="110"/>
    <w:bookmarkStart w:id="112"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11">
        <w:r>
          <w:rPr>
            <w:rStyle w:val="Hyperlink"/>
          </w:rPr>
          <w:t xml:space="preserve">https://arizona.academia.edu/LarsFogelin</w:t>
        </w:r>
      </w:hyperlink>
      <w:r>
        <w:t xml:space="preserve">, accessed January 26, 2025.</w:t>
      </w:r>
    </w:p>
    <w:bookmarkEnd w:id="112"/>
    <w:bookmarkStart w:id="114"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13">
        <w:r>
          <w:rPr>
            <w:rStyle w:val="Hyperlink"/>
          </w:rPr>
          <w:t xml:space="preserve">10.1007/s10761-020-00577-1</w:t>
        </w:r>
      </w:hyperlink>
      <w:r>
        <w:t xml:space="preserve">.</w:t>
      </w:r>
    </w:p>
    <w:bookmarkEnd w:id="114"/>
    <w:bookmarkStart w:id="116"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15">
        <w:r>
          <w:rPr>
            <w:rStyle w:val="Hyperlink"/>
          </w:rPr>
          <w:t xml:space="preserve">https://www.anthropology-news.org/articles/hello-to-tristes-tropes/</w:t>
        </w:r>
      </w:hyperlink>
      <w:r>
        <w:t xml:space="preserve">, accessed August 2, 2022.</w:t>
      </w:r>
    </w:p>
    <w:bookmarkEnd w:id="116"/>
    <w:bookmarkStart w:id="118"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17">
        <w:r>
          <w:rPr>
            <w:rStyle w:val="Hyperlink"/>
          </w:rPr>
          <w:t xml:space="preserve">10.1002/sres.2324</w:t>
        </w:r>
      </w:hyperlink>
      <w:r>
        <w:t xml:space="preserve">.</w:t>
      </w:r>
    </w:p>
    <w:bookmarkEnd w:id="118"/>
    <w:bookmarkStart w:id="119"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9"/>
    <w:bookmarkStart w:id="120"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20"/>
    <w:bookmarkStart w:id="122"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21">
        <w:r>
          <w:rPr>
            <w:rStyle w:val="Hyperlink"/>
          </w:rPr>
          <w:t xml:space="preserve">https://www.higheredjobs.com/Articles/articleDisplay.cfm?ID=3948</w:t>
        </w:r>
      </w:hyperlink>
      <w:r>
        <w:t xml:space="preserve">, accessed November 1, 2024.</w:t>
      </w:r>
    </w:p>
    <w:bookmarkEnd w:id="122"/>
    <w:bookmarkStart w:id="124"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23">
        <w:r>
          <w:rPr>
            <w:rStyle w:val="Hyperlink"/>
          </w:rPr>
          <w:t xml:space="preserve">10.1111/amet.12520</w:t>
        </w:r>
      </w:hyperlink>
      <w:r>
        <w:t xml:space="preserve">.</w:t>
      </w:r>
    </w:p>
    <w:bookmarkEnd w:id="124"/>
    <w:bookmarkStart w:id="125" w:name="ref-ho2009"/>
    <w:p>
      <w:pPr>
        <w:pStyle w:val="Bibliography"/>
      </w:pPr>
      <w:r>
        <w:t xml:space="preserve">Ho, Karen Zouwen</w:t>
      </w:r>
      <w:r>
        <w:t xml:space="preserve"> </w:t>
      </w:r>
      <w:r>
        <w:t xml:space="preserve">2009</w:t>
      </w:r>
      <w:r>
        <w:t xml:space="preserve">	</w:t>
      </w:r>
      <w:r>
        <w:rPr>
          <w:iCs/>
          <w:i/>
        </w:rPr>
        <w:t xml:space="preserve">Liquidated : An ethnography of wall street</w:t>
      </w:r>
      <w:r>
        <w:t xml:space="preserve">. Duke University Press, Durham.</w:t>
      </w:r>
    </w:p>
    <w:bookmarkEnd w:id="125"/>
    <w:bookmarkStart w:id="126"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26"/>
    <w:bookmarkStart w:id="128" w:name="ref-johnson2025"/>
    <w:p>
      <w:pPr>
        <w:pStyle w:val="Bibliography"/>
      </w:pPr>
      <w:r>
        <w:t xml:space="preserve">Johnson, Carolyn Y., Scott Dance, and Joel Achenbach</w:t>
      </w:r>
      <w:r>
        <w:t xml:space="preserve"> </w:t>
      </w:r>
      <w:r>
        <w:t xml:space="preserve">2025</w:t>
      </w:r>
      <w:r>
        <w:t xml:space="preserve">	</w:t>
      </w:r>
      <w:hyperlink r:id="rId127">
        <w:r>
          <w:rPr>
            <w:rStyle w:val="Hyperlink"/>
          </w:rPr>
          <w:t xml:space="preserve">Here are the words putting science in the crosshairs of trump</w:t>
        </w:r>
        <w:r>
          <w:rPr>
            <w:rStyle w:val="Hyperlink"/>
          </w:rPr>
          <w:t xml:space="preserve">’</w:t>
        </w:r>
        <w:r>
          <w:rPr>
            <w:rStyle w:val="Hyperlink"/>
          </w:rPr>
          <w:t xml:space="preserve">s orders</w:t>
        </w:r>
      </w:hyperlink>
      <w:r>
        <w:t xml:space="preserve">.</w:t>
      </w:r>
      <w:r>
        <w:t xml:space="preserve"> </w:t>
      </w:r>
      <w:r>
        <w:rPr>
          <w:iCs/>
          <w:i/>
        </w:rPr>
        <w:t xml:space="preserve">The Washington Post</w:t>
      </w:r>
      <w:r>
        <w:t xml:space="preserve">.</w:t>
      </w:r>
    </w:p>
    <w:bookmarkEnd w:id="128"/>
    <w:bookmarkStart w:id="129"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29"/>
    <w:bookmarkStart w:id="131"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30">
        <w:r>
          <w:rPr>
            <w:rStyle w:val="Hyperlink"/>
          </w:rPr>
          <w:t xml:space="preserve">10.1093/geront/gnw001</w:t>
        </w:r>
      </w:hyperlink>
      <w:r>
        <w:t xml:space="preserve">.</w:t>
      </w:r>
    </w:p>
    <w:bookmarkEnd w:id="131"/>
    <w:bookmarkStart w:id="133"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32">
        <w:r>
          <w:rPr>
            <w:rStyle w:val="Hyperlink"/>
          </w:rPr>
          <w:t xml:space="preserve">10.1111/aman.13158</w:t>
        </w:r>
      </w:hyperlink>
      <w:r>
        <w:t xml:space="preserve">, accessed October 31, 2024.</w:t>
      </w:r>
    </w:p>
    <w:bookmarkEnd w:id="133"/>
    <w:bookmarkStart w:id="134"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34"/>
    <w:bookmarkStart w:id="136" w:name="ref-knox2025"/>
    <w:p>
      <w:pPr>
        <w:pStyle w:val="Bibliography"/>
      </w:pPr>
      <w:r>
        <w:t xml:space="preserve">Knox, Liam, and Johanna Alonso</w:t>
      </w:r>
      <w:r>
        <w:t xml:space="preserve"> </w:t>
      </w:r>
      <w:r>
        <w:t xml:space="preserve">2025</w:t>
      </w:r>
      <w:r>
        <w:t xml:space="preserve">	</w:t>
      </w:r>
      <w:hyperlink r:id="rId135">
        <w:r>
          <w:rPr>
            <w:rStyle w:val="Hyperlink"/>
          </w:rPr>
          <w:t xml:space="preserve">Trump</w:t>
        </w:r>
        <w:r>
          <w:rPr>
            <w:rStyle w:val="Hyperlink"/>
          </w:rPr>
          <w:t xml:space="preserve">’</w:t>
        </w:r>
        <w:r>
          <w:rPr>
            <w:rStyle w:val="Hyperlink"/>
          </w:rPr>
          <w:t xml:space="preserve">s 100-day war on higher ed</w:t>
        </w:r>
      </w:hyperlink>
      <w:r>
        <w:t xml:space="preserve">.</w:t>
      </w:r>
      <w:r>
        <w:t xml:space="preserve"> </w:t>
      </w:r>
      <w:r>
        <w:rPr>
          <w:iCs/>
          <w:i/>
        </w:rPr>
        <w:t xml:space="preserve">Inside Highe Ed</w:t>
      </w:r>
      <w:r>
        <w:t xml:space="preserve">.</w:t>
      </w:r>
    </w:p>
    <w:bookmarkEnd w:id="136"/>
    <w:bookmarkStart w:id="137"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37"/>
    <w:bookmarkStart w:id="139"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38">
        <w:r>
          <w:rPr>
            <w:rStyle w:val="Hyperlink"/>
          </w:rPr>
          <w:t xml:space="preserve">10.1017/aaq.2022.59</w:t>
        </w:r>
      </w:hyperlink>
      <w:r>
        <w:t xml:space="preserve">.</w:t>
      </w:r>
    </w:p>
    <w:bookmarkEnd w:id="139"/>
    <w:bookmarkStart w:id="141"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40">
        <w:r>
          <w:rPr>
            <w:rStyle w:val="Hyperlink"/>
          </w:rPr>
          <w:t xml:space="preserve">10.1002/sres.2210</w:t>
        </w:r>
      </w:hyperlink>
      <w:r>
        <w:t xml:space="preserve">.</w:t>
      </w:r>
    </w:p>
    <w:bookmarkEnd w:id="141"/>
    <w:bookmarkStart w:id="142"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42"/>
    <w:bookmarkStart w:id="143"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43"/>
    <w:bookmarkStart w:id="145"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44">
        <w:r>
          <w:rPr>
            <w:rStyle w:val="Hyperlink"/>
          </w:rPr>
          <w:t xml:space="preserve">10.7326/M20-6306</w:t>
        </w:r>
      </w:hyperlink>
      <w:r>
        <w:t xml:space="preserve">.</w:t>
      </w:r>
    </w:p>
    <w:bookmarkEnd w:id="145"/>
    <w:bookmarkStart w:id="147"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46">
        <w:r>
          <w:rPr>
            <w:rStyle w:val="Hyperlink"/>
          </w:rPr>
          <w:t xml:space="preserve">10.1371/journal.pone.0285330</w:t>
        </w:r>
      </w:hyperlink>
      <w:r>
        <w:t xml:space="preserve">.</w:t>
      </w:r>
    </w:p>
    <w:bookmarkEnd w:id="147"/>
    <w:bookmarkStart w:id="149"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48">
        <w:r>
          <w:rPr>
            <w:rStyle w:val="Hyperlink"/>
          </w:rPr>
          <w:t xml:space="preserve">10.1353/rhe.2019.0067</w:t>
        </w:r>
      </w:hyperlink>
      <w:r>
        <w:t xml:space="preserve">.</w:t>
      </w:r>
    </w:p>
    <w:bookmarkEnd w:id="149"/>
    <w:bookmarkStart w:id="151"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50">
        <w:r>
          <w:rPr>
            <w:rStyle w:val="Hyperlink"/>
          </w:rPr>
          <w:t xml:space="preserve">10.1007/s10816-015-9272-9</w:t>
        </w:r>
      </w:hyperlink>
      <w:r>
        <w:t xml:space="preserve">.</w:t>
      </w:r>
    </w:p>
    <w:bookmarkEnd w:id="151"/>
    <w:bookmarkStart w:id="152" w:name="ref-meltzer1983"/>
    <w:p>
      <w:pPr>
        <w:pStyle w:val="Bibliography"/>
      </w:pPr>
      <w:r>
        <w:t xml:space="preserve">Meltzer, David</w:t>
      </w:r>
      <w:r>
        <w:t xml:space="preserve"> </w:t>
      </w:r>
      <w:r>
        <w:t xml:space="preserve">1983</w:t>
      </w:r>
      <w:r>
        <w:t xml:space="preserve">	</w:t>
      </w:r>
      <w:r>
        <w:t xml:space="preserve">Prehistory, power and politics in the bureau of american ethnology, 1879</w:t>
      </w:r>
      <w:r>
        <w:t xml:space="preserve">1906. In, edited by Joan M. Gero, David M. Lacy, and Michael L. Blakey, pp. 6777. Research reports, department of anthropology. University of Massachusetts, Amherst.</w:t>
      </w:r>
    </w:p>
    <w:bookmarkEnd w:id="152"/>
    <w:bookmarkStart w:id="154" w:name="ref-Mervis"/>
    <w:p>
      <w:pPr>
        <w:pStyle w:val="Bibliography"/>
      </w:pPr>
      <w:r>
        <w:t xml:space="preserve">Mervis, Jeffrey</w:t>
      </w:r>
      <w:r>
        <w:t xml:space="preserve"> </w:t>
      </w:r>
      <w:r>
        <w:t xml:space="preserve">2025</w:t>
      </w:r>
      <w:r>
        <w:t xml:space="preserve">	</w:t>
      </w:r>
      <w:r>
        <w:t xml:space="preserve">NSF’s grant cuts fall heaviest on scientists from underrepresented groups.</w:t>
      </w:r>
      <w:r>
        <w:t xml:space="preserve"> </w:t>
      </w:r>
      <w:hyperlink r:id="rId153">
        <w:r>
          <w:rPr>
            <w:rStyle w:val="Hyperlink"/>
          </w:rPr>
          <w:t xml:space="preserve">https://www.science.org/content/article/nsf-s-grant-cuts-fall-heaviest-scientists-underrepresented-groups</w:t>
        </w:r>
      </w:hyperlink>
      <w:r>
        <w:t xml:space="preserve">.</w:t>
      </w:r>
    </w:p>
    <w:bookmarkEnd w:id="154"/>
    <w:bookmarkStart w:id="155"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55"/>
    <w:bookmarkStart w:id="157"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56">
        <w:r>
          <w:rPr>
            <w:rStyle w:val="Hyperlink"/>
          </w:rPr>
          <w:t xml:space="preserve">10.1017/aap.2023.21</w:t>
        </w:r>
      </w:hyperlink>
      <w:r>
        <w:t xml:space="preserve">.</w:t>
      </w:r>
    </w:p>
    <w:bookmarkEnd w:id="157"/>
    <w:bookmarkStart w:id="158"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58"/>
    <w:bookmarkStart w:id="160"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59">
        <w:r>
          <w:rPr>
            <w:rStyle w:val="Hyperlink"/>
          </w:rPr>
          <w:t xml:space="preserve">https://nces.ed.gov/ipeds/</w:t>
        </w:r>
      </w:hyperlink>
      <w:r>
        <w:t xml:space="preserve">, accessed January 25, 2025.</w:t>
      </w:r>
    </w:p>
    <w:bookmarkEnd w:id="160"/>
    <w:bookmarkStart w:id="162"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61">
        <w:r>
          <w:rPr>
            <w:rStyle w:val="Hyperlink"/>
          </w:rPr>
          <w:t xml:space="preserve">10.1111/cars.12252</w:t>
        </w:r>
      </w:hyperlink>
      <w:r>
        <w:t xml:space="preserve">.</w:t>
      </w:r>
    </w:p>
    <w:bookmarkEnd w:id="162"/>
    <w:bookmarkStart w:id="164"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63">
        <w:r>
          <w:rPr>
            <w:rStyle w:val="Hyperlink"/>
          </w:rPr>
          <w:t xml:space="preserve">10.1002/ajpa.23457</w:t>
        </w:r>
      </w:hyperlink>
      <w:r>
        <w:t xml:space="preserve">.</w:t>
      </w:r>
    </w:p>
    <w:bookmarkEnd w:id="164"/>
    <w:bookmarkStart w:id="166"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65">
        <w:r>
          <w:rPr>
            <w:rStyle w:val="Hyperlink"/>
          </w:rPr>
          <w:t xml:space="preserve">https://culanth.org/fieldsights/academic-precarity-in-american-anthropology</w:t>
        </w:r>
      </w:hyperlink>
      <w:r>
        <w:t xml:space="preserve">, accessed October 31, 2024.</w:t>
      </w:r>
    </w:p>
    <w:bookmarkEnd w:id="166"/>
    <w:bookmarkStart w:id="168" w:name="ref-rlanguage"/>
    <w:p>
      <w:pPr>
        <w:pStyle w:val="Bibliography"/>
      </w:pPr>
      <w:r>
        <w:t xml:space="preserve">R Core Team</w:t>
      </w:r>
      <w:r>
        <w:t xml:space="preserve"> </w:t>
      </w:r>
      <w:r>
        <w:t xml:space="preserve">2024</w:t>
      </w:r>
      <w:r>
        <w:t xml:space="preserve">	</w:t>
      </w:r>
      <w:hyperlink r:id="rId167">
        <w:r>
          <w:rPr>
            <w:rStyle w:val="Hyperlink"/>
            <w:iCs/>
            <w:i/>
          </w:rPr>
          <w:t xml:space="preserve">R: A language and environment for statistical computing</w:t>
        </w:r>
      </w:hyperlink>
      <w:r>
        <w:t xml:space="preserve">. R Foundation for Statistical Computing, Vienna, Austria.</w:t>
      </w:r>
    </w:p>
    <w:bookmarkEnd w:id="168"/>
    <w:bookmarkStart w:id="169"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69"/>
    <w:bookmarkStart w:id="171"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70">
        <w:r>
          <w:rPr>
            <w:rStyle w:val="Hyperlink"/>
          </w:rPr>
          <w:t xml:space="preserve">10.1515/opar-2022-0309</w:t>
        </w:r>
      </w:hyperlink>
      <w:r>
        <w:t xml:space="preserve">.</w:t>
      </w:r>
    </w:p>
    <w:bookmarkEnd w:id="171"/>
    <w:bookmarkStart w:id="173"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72">
        <w:r>
          <w:rPr>
            <w:rStyle w:val="Hyperlink"/>
          </w:rPr>
          <w:t xml:space="preserve">10.1525/aa.1976.78.4.02a00070</w:t>
        </w:r>
      </w:hyperlink>
      <w:r>
        <w:t xml:space="preserve">.</w:t>
      </w:r>
    </w:p>
    <w:bookmarkEnd w:id="173"/>
    <w:bookmarkStart w:id="174"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74"/>
    <w:bookmarkStart w:id="176" w:name="ref-schneider2025"/>
    <w:p>
      <w:pPr>
        <w:pStyle w:val="Bibliography"/>
      </w:pPr>
      <w:r>
        <w:t xml:space="preserve">Schneider, Howard</w:t>
      </w:r>
      <w:r>
        <w:t xml:space="preserve"> </w:t>
      </w:r>
      <w:r>
        <w:t xml:space="preserve">2025</w:t>
      </w:r>
      <w:r>
        <w:t xml:space="preserve">	</w:t>
      </w:r>
      <w:hyperlink r:id="rId175">
        <w:r>
          <w:rPr>
            <w:rStyle w:val="Hyperlink"/>
          </w:rPr>
          <w:t xml:space="preserve">Fed</w:t>
        </w:r>
        <w:r>
          <w:rPr>
            <w:rStyle w:val="Hyperlink"/>
          </w:rPr>
          <w:t xml:space="preserve">’</w:t>
        </w:r>
        <w:r>
          <w:rPr>
            <w:rStyle w:val="Hyperlink"/>
          </w:rPr>
          <w:t xml:space="preserve">s powell says larger-than-expected tariffs likely to boost inflation, slow growth</w:t>
        </w:r>
      </w:hyperlink>
      <w:r>
        <w:t xml:space="preserve">.</w:t>
      </w:r>
      <w:r>
        <w:t xml:space="preserve"> </w:t>
      </w:r>
      <w:r>
        <w:rPr>
          <w:iCs/>
          <w:i/>
        </w:rPr>
        <w:t xml:space="preserve">Reuters</w:t>
      </w:r>
      <w:r>
        <w:t xml:space="preserve">.</w:t>
      </w:r>
    </w:p>
    <w:bookmarkEnd w:id="176"/>
    <w:bookmarkStart w:id="177"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77"/>
    <w:bookmarkStart w:id="178" w:name="ref-soffer1983"/>
    <w:p>
      <w:pPr>
        <w:pStyle w:val="Bibliography"/>
      </w:pPr>
      <w:r>
        <w:t xml:space="preserve">Soffer, Olga</w:t>
      </w:r>
      <w:r>
        <w:t xml:space="preserve"> </w:t>
      </w:r>
      <w:r>
        <w:t xml:space="preserve">1983</w:t>
      </w:r>
      <w:r>
        <w:t xml:space="preserve">	</w:t>
      </w:r>
      <w:r>
        <w:t xml:space="preserve">Politics of the paleolithic in the USSR: A case of paradigms lost. In, edited by Joan M. Gero, David M. Lacy, and Michael L. Blakey, pp. 91105. Research reports, department of anthropology. University of Massachusetts, Amherst.</w:t>
      </w:r>
    </w:p>
    <w:bookmarkEnd w:id="178"/>
    <w:bookmarkStart w:id="180" w:name="ref-soucek2021diversity"/>
    <w:p>
      <w:pPr>
        <w:pStyle w:val="Bibliography"/>
      </w:pPr>
      <w:r>
        <w:t xml:space="preserve">Soucek, Brian</w:t>
      </w:r>
      <w:r>
        <w:t xml:space="preserve"> </w:t>
      </w:r>
      <w:r>
        <w:t xml:space="preserve">2022</w:t>
      </w:r>
      <w:r>
        <w:t xml:space="preserve">	</w:t>
      </w:r>
      <w:hyperlink r:id="rId179">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80"/>
    <w:bookmarkStart w:id="181" w:name="ref-speakman2018choosing"/>
    <w:p>
      <w:pPr>
        <w:pStyle w:val="Bibliography"/>
      </w:pPr>
      <w:r>
        <w:t xml:space="preserve">Speakman, Robert J., Carla S. Hadden, Matthew H. Colvin, Justin Cramb, K. 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81"/>
    <w:bookmarkStart w:id="183" w:name="ref-speakman2018"/>
    <w:p>
      <w:pPr>
        <w:pStyle w:val="Bibliography"/>
      </w:pPr>
      <w:r>
        <w:t xml:space="preserve">Speakman, Robert J., Carla S. Hadden, Matthew H. Colvin, Justin Cramb, K. C. Jones, Travis W. Jones, Isabelle Lulewicz, Katharine G. Napora, Katherine L. Reinberger, Brandon T. Ritchison, Alexandra R. Edwards, and Victor D. Thompson</w:t>
      </w:r>
      <w:r>
        <w:t xml:space="preserve"> </w:t>
      </w:r>
      <w:r>
        <w:t xml:space="preserve">2018</w:t>
      </w:r>
      <w:r>
        <w:t xml:space="preserve">	</w:t>
      </w:r>
      <w:r>
        <w:t xml:space="preserve">Market share and recent hiring trends in anthropology faculty positions. Edited by John P. Hart.</w:t>
      </w:r>
      <w:r>
        <w:t xml:space="preserve"> </w:t>
      </w:r>
      <w:r>
        <w:rPr>
          <w:iCs/>
          <w:i/>
        </w:rPr>
        <w:t xml:space="preserve">PLOS ONE</w:t>
      </w:r>
      <w:r>
        <w:t xml:space="preserve"> </w:t>
      </w:r>
      <w:r>
        <w:t xml:space="preserve">13(9):e0202528. DOI:</w:t>
      </w:r>
      <w:hyperlink r:id="rId182">
        <w:r>
          <w:rPr>
            <w:rStyle w:val="Hyperlink"/>
          </w:rPr>
          <w:t xml:space="preserve">10.1371/journal.pone.0202528</w:t>
        </w:r>
      </w:hyperlink>
      <w:r>
        <w:t xml:space="preserve">.</w:t>
      </w:r>
    </w:p>
    <w:bookmarkEnd w:id="183"/>
    <w:bookmarkStart w:id="185"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84">
        <w:r>
          <w:rPr>
            <w:rStyle w:val="Hyperlink"/>
          </w:rPr>
          <w:t xml:space="preserve">10.1093/cid/ciaa815</w:t>
        </w:r>
      </w:hyperlink>
      <w:r>
        <w:t xml:space="preserve">.</w:t>
      </w:r>
    </w:p>
    <w:bookmarkEnd w:id="185"/>
    <w:bookmarkStart w:id="187" w:name="ref-thewhitehouse2025"/>
    <w:p>
      <w:pPr>
        <w:pStyle w:val="Bibliography"/>
      </w:pPr>
      <w:r>
        <w:t xml:space="preserve">The White House</w:t>
      </w:r>
      <w:r>
        <w:t xml:space="preserve"> </w:t>
      </w:r>
      <w:r>
        <w:t xml:space="preserve">2025</w:t>
      </w:r>
      <w:r>
        <w:t xml:space="preserve">	</w:t>
      </w:r>
      <w:hyperlink r:id="rId186">
        <w:r>
          <w:rPr>
            <w:rStyle w:val="Hyperlink"/>
            <w:iCs/>
            <w:i/>
          </w:rPr>
          <w:t xml:space="preserve">Fact sheet: President donald j. Trump reforms accreditation to strengthen higher education</w:t>
        </w:r>
      </w:hyperlink>
      <w:r>
        <w:t xml:space="preserve">.</w:t>
      </w:r>
    </w:p>
    <w:bookmarkEnd w:id="187"/>
    <w:bookmarkStart w:id="189"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88">
        <w:r>
          <w:rPr>
            <w:rStyle w:val="Hyperlink"/>
          </w:rPr>
          <w:t xml:space="preserve">10.1111/j.1556-3502.2010.51904.x</w:t>
        </w:r>
      </w:hyperlink>
      <w:r>
        <w:t xml:space="preserve">.</w:t>
      </w:r>
    </w:p>
    <w:bookmarkEnd w:id="189"/>
    <w:bookmarkStart w:id="190" w:name="ref-trigger1984"/>
    <w:p>
      <w:pPr>
        <w:pStyle w:val="Bibliography"/>
      </w:pPr>
      <w:r>
        <w:t xml:space="preserve">Trigger, Bruce</w:t>
      </w:r>
      <w:r>
        <w:t xml:space="preserve"> </w:t>
      </w:r>
      <w:r>
        <w:t xml:space="preserve">1984</w:t>
      </w:r>
      <w:r>
        <w:t xml:space="preserve">	</w:t>
      </w:r>
      <w:r>
        <w:t xml:space="preserve">Alternative archaeologies: Nationalist, colonialist, imperialist.</w:t>
      </w:r>
      <w:r>
        <w:t xml:space="preserve"> </w:t>
      </w:r>
      <w:r>
        <w:rPr>
          <w:iCs/>
          <w:i/>
        </w:rPr>
        <w:t xml:space="preserve">Man</w:t>
      </w:r>
      <w:r>
        <w:t xml:space="preserve"> </w:t>
      </w:r>
      <w:r>
        <w:t xml:space="preserve">19:355370.</w:t>
      </w:r>
    </w:p>
    <w:bookmarkEnd w:id="190"/>
    <w:bookmarkStart w:id="192"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91">
        <w:r>
          <w:rPr>
            <w:rStyle w:val="Hyperlink"/>
          </w:rPr>
          <w:t xml:space="preserve">10.1038/s41586-022-05222-x</w:t>
        </w:r>
      </w:hyperlink>
      <w:r>
        <w:t xml:space="preserve">, accessed November 1, 2024.</w:t>
      </w:r>
    </w:p>
    <w:bookmarkEnd w:id="192"/>
    <w:bookmarkStart w:id="193"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93"/>
    <w:bookmarkStart w:id="194" w:name="ref-wobst1983"/>
    <w:p>
      <w:pPr>
        <w:pStyle w:val="Bibliography"/>
      </w:pPr>
      <w:r>
        <w:t xml:space="preserve">Wobst, H. Martin, and Arthur S. Keene</w:t>
      </w:r>
      <w:r>
        <w:t xml:space="preserve"> </w:t>
      </w:r>
      <w:r>
        <w:t xml:space="preserve">1983</w:t>
      </w:r>
      <w:r>
        <w:t xml:space="preserve">	</w:t>
      </w:r>
      <w:r>
        <w:t xml:space="preserve">Archaeological explanation as political economy. In, edited by Joan M. Gero, David M. Lacy, and Michael L. Blakey, pp. 7989. Research reports, department of anthropology. University of Massachusetts, Amherst.</w:t>
      </w:r>
    </w:p>
    <w:bookmarkEnd w:id="194"/>
    <w:bookmarkStart w:id="196"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95">
        <w:r>
          <w:rPr>
            <w:rStyle w:val="Hyperlink"/>
          </w:rPr>
          <w:t xml:space="preserve">10.1038/d41586-020-01656-3</w:t>
        </w:r>
      </w:hyperlink>
      <w:r>
        <w:t xml:space="preserve">.</w:t>
      </w:r>
    </w:p>
    <w:bookmarkEnd w:id="196"/>
    <w:bookmarkStart w:id="198"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97">
        <w:r>
          <w:rPr>
            <w:rStyle w:val="Hyperlink"/>
          </w:rPr>
          <w:t xml:space="preserve">10.1111/AN.1341</w:t>
        </w:r>
      </w:hyperlink>
      <w:r>
        <w:t xml:space="preserve">.</w:t>
      </w:r>
    </w:p>
    <w:bookmarkEnd w:id="198"/>
    <w:bookmarkEnd w:id="199"/>
    <w:p>
      <w:r>
        <w:br w:type="page"/>
      </w:r>
    </w:p>
    <w:bookmarkStart w:id="200" w:name="colophon"/>
    <w:p>
      <w:pPr>
        <w:pStyle w:val="Heading3"/>
      </w:pPr>
      <w:r>
        <w:t xml:space="preserve">Colophon</w:t>
      </w:r>
    </w:p>
    <w:p>
      <w:pPr>
        <w:pStyle w:val="FirstParagraph"/>
      </w:pPr>
      <w:r>
        <w:t xml:space="preserve">This report was generated on 2025-07-08 10:59:44.388621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2025-07-08</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1.2.1   2024-10-04 [1] CRAN (R 4.5.0)</w:t>
      </w:r>
      <w:r>
        <w:br/>
      </w:r>
      <w:r>
        <w:rPr>
          <w:rStyle w:val="VerbatimChar"/>
        </w:rPr>
        <w:t xml:space="preserve"> beeswarm            0.4.0   2021-06-01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cachem              1.1.0   2024-05-16 [1] CRAN (R 4.5.0)</w:t>
      </w:r>
      <w:r>
        <w:br/>
      </w:r>
      <w:r>
        <w:rPr>
          <w:rStyle w:val="VerbatimChar"/>
        </w:rPr>
        <w:t xml:space="preserve"> cellranger          1.1.0   2016-07-27 [1] CRAN (R 4.5.0)</w:t>
      </w:r>
      <w:r>
        <w:br/>
      </w:r>
      <w:r>
        <w:rPr>
          <w:rStyle w:val="VerbatimChar"/>
        </w:rPr>
        <w:t xml:space="preserve"> cli                 3.6.5   2025-04-23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curl                6.2.2   2025-03-24 [1] CRAN (R 4.5.0)</w:t>
      </w:r>
      <w:r>
        <w:br/>
      </w:r>
      <w:r>
        <w:rPr>
          <w:rStyle w:val="VerbatimChar"/>
        </w:rPr>
        <w:t xml:space="preserve"> data.table          1.17.0  2025-02-22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fiftystater       * 1.0.1   2025-05-14 [1] Github (wmurphyrd/fiftystater@28e7fa5)</w:t>
      </w:r>
      <w:r>
        <w:br/>
      </w:r>
      <w:r>
        <w:rPr>
          <w:rStyle w:val="VerbatimChar"/>
        </w:rPr>
        <w:t xml:space="preserve"> flextable         * 0.9.7   2024-10-27 [1] CRAN (R 4.5.0)</w:t>
      </w:r>
      <w:r>
        <w:br/>
      </w:r>
      <w:r>
        <w:rPr>
          <w:rStyle w:val="VerbatimChar"/>
        </w:rPr>
        <w:t xml:space="preserve"> fontBitstreamVera   0.1.1   2017-02-01 [1] CRAN (R 4.5.0)</w:t>
      </w:r>
      <w:r>
        <w:br/>
      </w:r>
      <w:r>
        <w:rPr>
          <w:rStyle w:val="VerbatimChar"/>
        </w:rPr>
        <w:t xml:space="preserve"> fontLiberation      0.1.0   2016-10-15 [1] CRAN (R 4.5.0)</w:t>
      </w:r>
      <w:r>
        <w:br/>
      </w:r>
      <w:r>
        <w:rPr>
          <w:rStyle w:val="VerbatimChar"/>
        </w:rPr>
        <w:t xml:space="preserve"> fontquiver          0.2.1   2017-02-01 [1] CRAN (R 4.5.0)</w:t>
      </w:r>
      <w:r>
        <w:br/>
      </w:r>
      <w:r>
        <w:rPr>
          <w:rStyle w:val="VerbatimChar"/>
        </w:rPr>
        <w:t xml:space="preserve"> forcats           * 1.0.0   2023-01-29 [1] CRAN (R 4.5.0)</w:t>
      </w:r>
      <w:r>
        <w:br/>
      </w:r>
      <w:r>
        <w:rPr>
          <w:rStyle w:val="VerbatimChar"/>
        </w:rPr>
        <w:t xml:space="preserve"> fs                  1.6.6   2025-04-12 [1] CRAN (R 4.5.0)</w:t>
      </w:r>
      <w:r>
        <w:br/>
      </w:r>
      <w:r>
        <w:rPr>
          <w:rStyle w:val="VerbatimChar"/>
        </w:rPr>
        <w:t xml:space="preserve"> gdtools             0.4.2   2025-03-27 [1] CRAN (R 4.5.0)</w:t>
      </w:r>
      <w:r>
        <w:br/>
      </w:r>
      <w:r>
        <w:rPr>
          <w:rStyle w:val="VerbatimChar"/>
        </w:rPr>
        <w:t xml:space="preserve"> generics            0.1.3   2022-07-05 [1] CRAN (R 4.5.0)</w:t>
      </w:r>
      <w:r>
        <w:br/>
      </w:r>
      <w:r>
        <w:rPr>
          <w:rStyle w:val="VerbatimChar"/>
        </w:rPr>
        <w:t xml:space="preserve"> ggbeeswarm        * 0.7.2   2023-04-29 [1] CRAN (R 4.5.0)</w:t>
      </w:r>
      <w:r>
        <w:br/>
      </w:r>
      <w:r>
        <w:rPr>
          <w:rStyle w:val="VerbatimChar"/>
        </w:rPr>
        <w:t xml:space="preserve"> ggplot2           * 3.5.2   2025-04-09 [1] CRAN (R 4.5.0)</w:t>
      </w:r>
      <w:r>
        <w:br/>
      </w:r>
      <w:r>
        <w:rPr>
          <w:rStyle w:val="VerbatimChar"/>
        </w:rPr>
        <w:t xml:space="preserve"> ggrepel           * 0.9.6   2024-09-07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hms                 1.1.3   2023-03-21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httr                1.4.7   2023-08-15 [1] CRAN (R 4.5.0)</w:t>
      </w:r>
      <w:r>
        <w:br/>
      </w:r>
      <w:r>
        <w:rPr>
          <w:rStyle w:val="VerbatimChar"/>
        </w:rPr>
        <w:t xml:space="preserve"> janitor             2.2.1   2024-12-22 [1] CRAN (R 4.5.0)</w:t>
      </w:r>
      <w:r>
        <w:br/>
      </w:r>
      <w:r>
        <w:rPr>
          <w:rStyle w:val="VerbatimChar"/>
        </w:rPr>
        <w:t xml:space="preserve"> jsonlite            2.0.0   2025-03-27 [1] CRAN (R 4.5.0)</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mapproj             1.2.11  2023-01-12 [1] CRAN (R 4.5.0)</w:t>
      </w:r>
      <w:r>
        <w:br/>
      </w:r>
      <w:r>
        <w:rPr>
          <w:rStyle w:val="VerbatimChar"/>
        </w:rPr>
        <w:t xml:space="preserve"> maps                3.4.2.1 2024-11-10 [1] CRAN (R 4.5.0)</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nlme                3.1-168 2025-03-31 [1] CRAN (R 4.5.1)</w:t>
      </w:r>
      <w:r>
        <w:br/>
      </w:r>
      <w:r>
        <w:rPr>
          <w:rStyle w:val="VerbatimChar"/>
        </w:rPr>
        <w:t xml:space="preserve"> officer             0.6.8   2025-03-23 [1] CRAN (R 4.5.0)</w:t>
      </w:r>
      <w:r>
        <w:br/>
      </w:r>
      <w:r>
        <w:rPr>
          <w:rStyle w:val="VerbatimChar"/>
        </w:rPr>
        <w:t xml:space="preserve"> openssl             2.3.2   2025-02-03 [1] CRAN (R 4.5.0)</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promises            1.3.2   2024-11-28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ragg                1.4.0   2025-04-10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rgeolocate        * 1.4.2   2025-05-14 [1] Github (ironholds/rgeolocate@d2f550e)</w:t>
      </w:r>
      <w:r>
        <w:br/>
      </w:r>
      <w:r>
        <w:rPr>
          <w:rStyle w:val="VerbatimChar"/>
        </w:rPr>
        <w:t xml:space="preserve"> rlang               1.1.6   2025-04-11 [1] CRAN (R 4.5.0)</w:t>
      </w:r>
      <w:r>
        <w:br/>
      </w:r>
      <w:r>
        <w:rPr>
          <w:rStyle w:val="VerbatimChar"/>
        </w:rPr>
        <w:t xml:space="preserve"> rlist             * 0.4.6.2 2021-09-03 [1] CRAN (R 4.5.0)</w:t>
      </w:r>
      <w:r>
        <w:br/>
      </w:r>
      <w:r>
        <w:rPr>
          <w:rStyle w:val="VerbatimChar"/>
        </w:rPr>
        <w:t xml:space="preserve"> rmarkdown           2.29    2024-11-04 [1] CRAN (R 4.5.0)</w:t>
      </w:r>
      <w:r>
        <w:br/>
      </w:r>
      <w:r>
        <w:rPr>
          <w:rStyle w:val="VerbatimChar"/>
        </w:rPr>
        <w:t xml:space="preserve"> rprojroot           2.0.4   2023-11-05 [1] CRAN (R 4.5.0)</w:t>
      </w:r>
      <w:r>
        <w:br/>
      </w:r>
      <w:r>
        <w:rPr>
          <w:rStyle w:val="VerbatimChar"/>
        </w:rPr>
        <w:t xml:space="preserve"> rstudioapi          0.17.1  2024-10-22 [1] CRAN (R 4.5.0)</w:t>
      </w:r>
      <w:r>
        <w:br/>
      </w:r>
      <w:r>
        <w:rPr>
          <w:rStyle w:val="VerbatimChar"/>
        </w:rPr>
        <w:t xml:space="preserve"> rvest             * 1.0.4   2024-02-12 [1] CRAN (R 4.5.0)</w:t>
      </w:r>
      <w:r>
        <w:br/>
      </w:r>
      <w:r>
        <w:rPr>
          <w:rStyle w:val="VerbatimChar"/>
        </w:rPr>
        <w:t xml:space="preserve"> scales              1.4.0   2025-04-24 [1] CRAN (R 4.5.0)</w:t>
      </w:r>
      <w:r>
        <w:br/>
      </w:r>
      <w:r>
        <w:rPr>
          <w:rStyle w:val="VerbatimChar"/>
        </w:rPr>
        <w:t xml:space="preserve"> selectr             0.4-2   2019-11-20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snakecase           0.11.1  2023-08-27 [1] CRAN (R 4.5.0)</w:t>
      </w:r>
      <w:r>
        <w:br/>
      </w:r>
      <w:r>
        <w:rPr>
          <w:rStyle w:val="VerbatimChar"/>
        </w:rPr>
        <w:t xml:space="preserve"> stringi           * 1.8.7   2025-03-27 [1] CRAN (R 4.5.0)</w:t>
      </w:r>
      <w:r>
        <w:br/>
      </w:r>
      <w:r>
        <w:rPr>
          <w:rStyle w:val="VerbatimChar"/>
        </w:rPr>
        <w:t xml:space="preserve"> stringr           * 1.5.1   2023-11-14 [1] CRAN (R 4.5.0)</w:t>
      </w:r>
      <w:r>
        <w:br/>
      </w:r>
      <w:r>
        <w:rPr>
          <w:rStyle w:val="VerbatimChar"/>
        </w:rPr>
        <w:t xml:space="preserve"> svglite             2.2.1   2025-05-12 [1] CRAN (R 4.5.0)</w:t>
      </w:r>
      <w:r>
        <w:br/>
      </w:r>
      <w:r>
        <w:rPr>
          <w:rStyle w:val="VerbatimChar"/>
        </w:rPr>
        <w:t xml:space="preserve"> systemfonts         1.2.3   2025-04-30 [1] CRAN (R 4.5.0)</w:t>
      </w:r>
      <w:r>
        <w:br/>
      </w:r>
      <w:r>
        <w:rPr>
          <w:rStyle w:val="VerbatimChar"/>
        </w:rPr>
        <w:t xml:space="preserve"> textshaping         1.0.1   2025-05-01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uuid                1.2-1   2024-07-29 [1] CRAN (R 4.5.0)</w:t>
      </w:r>
      <w:r>
        <w:br/>
      </w:r>
      <w:r>
        <w:rPr>
          <w:rStyle w:val="VerbatimChar"/>
        </w:rPr>
        <w:t xml:space="preserve"> vctrs               0.6.5   2023-12-01 [1] CRAN (R 4.5.0)</w:t>
      </w:r>
      <w:r>
        <w:br/>
      </w:r>
      <w:r>
        <w:rPr>
          <w:rStyle w:val="VerbatimChar"/>
        </w:rPr>
        <w:t xml:space="preserve"> vipor               0.4.7   2023-12-18 [1] CRAN (R 4.5.0)</w:t>
      </w:r>
      <w:r>
        <w:br/>
      </w:r>
      <w:r>
        <w:rPr>
          <w:rStyle w:val="VerbatimChar"/>
        </w:rPr>
        <w:t xml:space="preserve"> viridis           * 0.6.5   2024-01-29 [1] CRAN (R 4.5.0)</w:t>
      </w:r>
      <w:r>
        <w:br/>
      </w:r>
      <w:r>
        <w:rPr>
          <w:rStyle w:val="VerbatimChar"/>
        </w:rPr>
        <w:t xml:space="preserve"> viridisLite       * 0.4.2   2023-05-02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zip                 2.3.3   2025-05-13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[6ca827e] 2025-05-24: resubmission complete</w:t>
      </w:r>
    </w:p>
    <w:bookmarkEnd w:id="200"/>
    <w:bookmarkEnd w:id="20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22" Target="media/rId22.png" /><Relationship Type="http://schemas.openxmlformats.org/officeDocument/2006/relationships/hyperlink" Id="rId111" Target="https://arizona.academia.edu/LarsFogelin" TargetMode="External" /><Relationship Type="http://schemas.openxmlformats.org/officeDocument/2006/relationships/hyperlink" Id="rId165" Target="https://culanth.org/fieldsights/academic-precarity-in-american-anthropology" TargetMode="External" /><Relationship Type="http://schemas.openxmlformats.org/officeDocument/2006/relationships/hyperlink" Id="rId163" Target="https://doi.org/10.1002/ajpa.23457" TargetMode="External" /><Relationship Type="http://schemas.openxmlformats.org/officeDocument/2006/relationships/hyperlink" Id="rId140" Target="https://doi.org/10.1002/sres.2210" TargetMode="External" /><Relationship Type="http://schemas.openxmlformats.org/officeDocument/2006/relationships/hyperlink" Id="rId117" Target="https://doi.org/10.1002/sres.2324" TargetMode="External" /><Relationship Type="http://schemas.openxmlformats.org/officeDocument/2006/relationships/hyperlink" Id="rId113" Target="https://doi.org/10.1007/s10761-020-00577-1" TargetMode="External" /><Relationship Type="http://schemas.openxmlformats.org/officeDocument/2006/relationships/hyperlink" Id="rId150" Target="https://doi.org/10.1007/s10816-015-9272-9" TargetMode="External" /><Relationship Type="http://schemas.openxmlformats.org/officeDocument/2006/relationships/hyperlink" Id="rId107" Target="https://doi.org/10.1007/s11192-021-03917-y" TargetMode="External" /><Relationship Type="http://schemas.openxmlformats.org/officeDocument/2006/relationships/hyperlink" Id="rId96" Target="https://doi.org/10.1017/aap.2022.8" TargetMode="External" /><Relationship Type="http://schemas.openxmlformats.org/officeDocument/2006/relationships/hyperlink" Id="rId156" Target="https://doi.org/10.1017/aap.2023.21" TargetMode="External" /><Relationship Type="http://schemas.openxmlformats.org/officeDocument/2006/relationships/hyperlink" Id="rId109" Target="https://doi.org/10.1017/aaq.2021.18" TargetMode="External" /><Relationship Type="http://schemas.openxmlformats.org/officeDocument/2006/relationships/hyperlink" Id="rId82" Target="https://doi.org/10.1017/aaq.2021.64" TargetMode="External" /><Relationship Type="http://schemas.openxmlformats.org/officeDocument/2006/relationships/hyperlink" Id="rId138" Target="https://doi.org/10.1017/aaq.2022.59" TargetMode="External" /><Relationship Type="http://schemas.openxmlformats.org/officeDocument/2006/relationships/hyperlink" Id="rId86" Target="https://doi.org/10.1017/eaa.2022.41" TargetMode="External" /><Relationship Type="http://schemas.openxmlformats.org/officeDocument/2006/relationships/hyperlink" Id="rId195" Target="https://doi.org/10.1038/d41586-020-01656-3" TargetMode="External" /><Relationship Type="http://schemas.openxmlformats.org/officeDocument/2006/relationships/hyperlink" Id="rId191" Target="https://doi.org/10.1038/s41586-022-05222-x" TargetMode="External" /><Relationship Type="http://schemas.openxmlformats.org/officeDocument/2006/relationships/hyperlink" Id="rId102" Target="https://doi.org/10.1073/pnas.2117320119" TargetMode="External" /><Relationship Type="http://schemas.openxmlformats.org/officeDocument/2006/relationships/hyperlink" Id="rId105" Target="https://doi.org/10.1086/382250" TargetMode="External" /><Relationship Type="http://schemas.openxmlformats.org/officeDocument/2006/relationships/hyperlink" Id="rId184" Target="https://doi.org/10.1093/cid/ciaa815" TargetMode="External" /><Relationship Type="http://schemas.openxmlformats.org/officeDocument/2006/relationships/hyperlink" Id="rId130" Target="https://doi.org/10.1093/geront/gnw001" TargetMode="External" /><Relationship Type="http://schemas.openxmlformats.org/officeDocument/2006/relationships/hyperlink" Id="rId197" Target="https://doi.org/10.1111/AN.1341" TargetMode="External" /><Relationship Type="http://schemas.openxmlformats.org/officeDocument/2006/relationships/hyperlink" Id="rId132" Target="https://doi.org/10.1111/aman.13158" TargetMode="External" /><Relationship Type="http://schemas.openxmlformats.org/officeDocument/2006/relationships/hyperlink" Id="rId100" Target="https://doi.org/10.1111/aman.13781" TargetMode="External" /><Relationship Type="http://schemas.openxmlformats.org/officeDocument/2006/relationships/hyperlink" Id="rId123" Target="https://doi.org/10.1111/amet.12520" TargetMode="External" /><Relationship Type="http://schemas.openxmlformats.org/officeDocument/2006/relationships/hyperlink" Id="rId161"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88" Target="https://doi.org/10.1111/j.1556-3502.2010.51904.x" TargetMode="External" /><Relationship Type="http://schemas.openxmlformats.org/officeDocument/2006/relationships/hyperlink" Id="rId94" Target="https://doi.org/10.1126/sciadv.1400005" TargetMode="External" /><Relationship Type="http://schemas.openxmlformats.org/officeDocument/2006/relationships/hyperlink" Id="rId148" Target="https://doi.org/10.1353/rhe.2019.0067" TargetMode="External" /><Relationship Type="http://schemas.openxmlformats.org/officeDocument/2006/relationships/hyperlink" Id="rId182" Target="https://doi.org/10.1371/journal.pone.0202528" TargetMode="External" /><Relationship Type="http://schemas.openxmlformats.org/officeDocument/2006/relationships/hyperlink" Id="rId146" Target="https://doi.org/10.1371/journal.pone.0285330" TargetMode="External" /><Relationship Type="http://schemas.openxmlformats.org/officeDocument/2006/relationships/hyperlink" Id="rId170" Target="https://doi.org/10.1515/opar-2022-0309" TargetMode="External" /><Relationship Type="http://schemas.openxmlformats.org/officeDocument/2006/relationships/hyperlink" Id="rId172" Target="https://doi.org/10.1525/aa.1976.78.4.02a00070" TargetMode="External" /><Relationship Type="http://schemas.openxmlformats.org/officeDocument/2006/relationships/hyperlink" Id="rId98" Target="https://doi.org/10.17226/26405" TargetMode="External" /><Relationship Type="http://schemas.openxmlformats.org/officeDocument/2006/relationships/hyperlink" Id="rId90" Target="https://doi.org/10.48550/arXiv.1803.00125" TargetMode="External" /><Relationship Type="http://schemas.openxmlformats.org/officeDocument/2006/relationships/hyperlink" Id="rId144"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79" Target="https://lawreview.law.ucdavis.edu/archives/55/4/diversity-statements.html" TargetMode="External" /><Relationship Type="http://schemas.openxmlformats.org/officeDocument/2006/relationships/hyperlink" Id="rId159" Target="https://nces.ed.gov/ipeds/" TargetMode="External" /><Relationship Type="http://schemas.openxmlformats.org/officeDocument/2006/relationships/hyperlink" Id="rId167"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15" Target="https://www.anthropology-news.org/articles/hello-to-tristes-tropes/" TargetMode="External" /><Relationship Type="http://schemas.openxmlformats.org/officeDocument/2006/relationships/hyperlink" Id="rId121" Target="https://www.higheredjobs.com/Articles/articleDisplay.cfm?ID=3948" TargetMode="External" /><Relationship Type="http://schemas.openxmlformats.org/officeDocument/2006/relationships/hyperlink" Id="rId135" Target="https://www.insidehighered.com/news/government/politics-elections/2025/04/30/how-trumps-first-100-days-transformed-higher-ed" TargetMode="External" /><Relationship Type="http://schemas.openxmlformats.org/officeDocument/2006/relationships/hyperlink" Id="rId92" Target="https://www.insidehighered.com/opinion/career-advice/2024/05/09/graduate-work-must-focus-both-academic-and-applied-opinion" TargetMode="External" /><Relationship Type="http://schemas.openxmlformats.org/officeDocument/2006/relationships/hyperlink" Id="rId88" Target="https://www.nytimes.com/2025/01/28/us/politics/trump-policy-blitz.html" TargetMode="External" /><Relationship Type="http://schemas.openxmlformats.org/officeDocument/2006/relationships/hyperlink" Id="rId175" Target="https://www.reuters.com/markets/us/feds-powell-weigh-amid-tariff-fray-market-drop-2025-04-04/" TargetMode="External" /><Relationship Type="http://schemas.openxmlformats.org/officeDocument/2006/relationships/hyperlink" Id="rId153" Target="https://www.science.org/content/article/nsf-s-grant-cuts-fall-heaviest-scientists-underrepresented-groups" TargetMode="External" /><Relationship Type="http://schemas.openxmlformats.org/officeDocument/2006/relationships/hyperlink" Id="rId127" Target="https://www.washingtonpost.com/science/2025/02/04/national-science-foundation-trump-executive-orders-words/" TargetMode="External" /><Relationship Type="http://schemas.openxmlformats.org/officeDocument/2006/relationships/hyperlink" Id="rId186" Target="https://www.whitehouse.gov/fact-sheets/2025/04/fact-sheet-president-donald-j-trump-reforms-accreditation-to-strengthen-higher-education/"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11" Target="https://arizona.academia.edu/LarsFogelin" TargetMode="External" /><Relationship Type="http://schemas.openxmlformats.org/officeDocument/2006/relationships/hyperlink" Id="rId165" Target="https://culanth.org/fieldsights/academic-precarity-in-american-anthropology" TargetMode="External" /><Relationship Type="http://schemas.openxmlformats.org/officeDocument/2006/relationships/hyperlink" Id="rId163" Target="https://doi.org/10.1002/ajpa.23457" TargetMode="External" /><Relationship Type="http://schemas.openxmlformats.org/officeDocument/2006/relationships/hyperlink" Id="rId140" Target="https://doi.org/10.1002/sres.2210" TargetMode="External" /><Relationship Type="http://schemas.openxmlformats.org/officeDocument/2006/relationships/hyperlink" Id="rId117" Target="https://doi.org/10.1002/sres.2324" TargetMode="External" /><Relationship Type="http://schemas.openxmlformats.org/officeDocument/2006/relationships/hyperlink" Id="rId113" Target="https://doi.org/10.1007/s10761-020-00577-1" TargetMode="External" /><Relationship Type="http://schemas.openxmlformats.org/officeDocument/2006/relationships/hyperlink" Id="rId150" Target="https://doi.org/10.1007/s10816-015-9272-9" TargetMode="External" /><Relationship Type="http://schemas.openxmlformats.org/officeDocument/2006/relationships/hyperlink" Id="rId107" Target="https://doi.org/10.1007/s11192-021-03917-y" TargetMode="External" /><Relationship Type="http://schemas.openxmlformats.org/officeDocument/2006/relationships/hyperlink" Id="rId96" Target="https://doi.org/10.1017/aap.2022.8" TargetMode="External" /><Relationship Type="http://schemas.openxmlformats.org/officeDocument/2006/relationships/hyperlink" Id="rId156" Target="https://doi.org/10.1017/aap.2023.21" TargetMode="External" /><Relationship Type="http://schemas.openxmlformats.org/officeDocument/2006/relationships/hyperlink" Id="rId109" Target="https://doi.org/10.1017/aaq.2021.18" TargetMode="External" /><Relationship Type="http://schemas.openxmlformats.org/officeDocument/2006/relationships/hyperlink" Id="rId82" Target="https://doi.org/10.1017/aaq.2021.64" TargetMode="External" /><Relationship Type="http://schemas.openxmlformats.org/officeDocument/2006/relationships/hyperlink" Id="rId138" Target="https://doi.org/10.1017/aaq.2022.59" TargetMode="External" /><Relationship Type="http://schemas.openxmlformats.org/officeDocument/2006/relationships/hyperlink" Id="rId86" Target="https://doi.org/10.1017/eaa.2022.41" TargetMode="External" /><Relationship Type="http://schemas.openxmlformats.org/officeDocument/2006/relationships/hyperlink" Id="rId195" Target="https://doi.org/10.1038/d41586-020-01656-3" TargetMode="External" /><Relationship Type="http://schemas.openxmlformats.org/officeDocument/2006/relationships/hyperlink" Id="rId191" Target="https://doi.org/10.1038/s41586-022-05222-x" TargetMode="External" /><Relationship Type="http://schemas.openxmlformats.org/officeDocument/2006/relationships/hyperlink" Id="rId102" Target="https://doi.org/10.1073/pnas.2117320119" TargetMode="External" /><Relationship Type="http://schemas.openxmlformats.org/officeDocument/2006/relationships/hyperlink" Id="rId105" Target="https://doi.org/10.1086/382250" TargetMode="External" /><Relationship Type="http://schemas.openxmlformats.org/officeDocument/2006/relationships/hyperlink" Id="rId184" Target="https://doi.org/10.1093/cid/ciaa815" TargetMode="External" /><Relationship Type="http://schemas.openxmlformats.org/officeDocument/2006/relationships/hyperlink" Id="rId130" Target="https://doi.org/10.1093/geront/gnw001" TargetMode="External" /><Relationship Type="http://schemas.openxmlformats.org/officeDocument/2006/relationships/hyperlink" Id="rId197" Target="https://doi.org/10.1111/AN.1341" TargetMode="External" /><Relationship Type="http://schemas.openxmlformats.org/officeDocument/2006/relationships/hyperlink" Id="rId132" Target="https://doi.org/10.1111/aman.13158" TargetMode="External" /><Relationship Type="http://schemas.openxmlformats.org/officeDocument/2006/relationships/hyperlink" Id="rId100" Target="https://doi.org/10.1111/aman.13781" TargetMode="External" /><Relationship Type="http://schemas.openxmlformats.org/officeDocument/2006/relationships/hyperlink" Id="rId123" Target="https://doi.org/10.1111/amet.12520" TargetMode="External" /><Relationship Type="http://schemas.openxmlformats.org/officeDocument/2006/relationships/hyperlink" Id="rId161"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88" Target="https://doi.org/10.1111/j.1556-3502.2010.51904.x" TargetMode="External" /><Relationship Type="http://schemas.openxmlformats.org/officeDocument/2006/relationships/hyperlink" Id="rId94" Target="https://doi.org/10.1126/sciadv.1400005" TargetMode="External" /><Relationship Type="http://schemas.openxmlformats.org/officeDocument/2006/relationships/hyperlink" Id="rId148" Target="https://doi.org/10.1353/rhe.2019.0067" TargetMode="External" /><Relationship Type="http://schemas.openxmlformats.org/officeDocument/2006/relationships/hyperlink" Id="rId182" Target="https://doi.org/10.1371/journal.pone.0202528" TargetMode="External" /><Relationship Type="http://schemas.openxmlformats.org/officeDocument/2006/relationships/hyperlink" Id="rId146" Target="https://doi.org/10.1371/journal.pone.0285330" TargetMode="External" /><Relationship Type="http://schemas.openxmlformats.org/officeDocument/2006/relationships/hyperlink" Id="rId170" Target="https://doi.org/10.1515/opar-2022-0309" TargetMode="External" /><Relationship Type="http://schemas.openxmlformats.org/officeDocument/2006/relationships/hyperlink" Id="rId172" Target="https://doi.org/10.1525/aa.1976.78.4.02a00070" TargetMode="External" /><Relationship Type="http://schemas.openxmlformats.org/officeDocument/2006/relationships/hyperlink" Id="rId98" Target="https://doi.org/10.17226/26405" TargetMode="External" /><Relationship Type="http://schemas.openxmlformats.org/officeDocument/2006/relationships/hyperlink" Id="rId90" Target="https://doi.org/10.48550/arXiv.1803.00125" TargetMode="External" /><Relationship Type="http://schemas.openxmlformats.org/officeDocument/2006/relationships/hyperlink" Id="rId144"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79" Target="https://lawreview.law.ucdavis.edu/archives/55/4/diversity-statements.html" TargetMode="External" /><Relationship Type="http://schemas.openxmlformats.org/officeDocument/2006/relationships/hyperlink" Id="rId159" Target="https://nces.ed.gov/ipeds/" TargetMode="External" /><Relationship Type="http://schemas.openxmlformats.org/officeDocument/2006/relationships/hyperlink" Id="rId167"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15" Target="https://www.anthropology-news.org/articles/hello-to-tristes-tropes/" TargetMode="External" /><Relationship Type="http://schemas.openxmlformats.org/officeDocument/2006/relationships/hyperlink" Id="rId121" Target="https://www.higheredjobs.com/Articles/articleDisplay.cfm?ID=3948" TargetMode="External" /><Relationship Type="http://schemas.openxmlformats.org/officeDocument/2006/relationships/hyperlink" Id="rId135" Target="https://www.insidehighered.com/news/government/politics-elections/2025/04/30/how-trumps-first-100-days-transformed-higher-ed" TargetMode="External" /><Relationship Type="http://schemas.openxmlformats.org/officeDocument/2006/relationships/hyperlink" Id="rId92" Target="https://www.insidehighered.com/opinion/career-advice/2024/05/09/graduate-work-must-focus-both-academic-and-applied-opinion" TargetMode="External" /><Relationship Type="http://schemas.openxmlformats.org/officeDocument/2006/relationships/hyperlink" Id="rId88" Target="https://www.nytimes.com/2025/01/28/us/politics/trump-policy-blitz.html" TargetMode="External" /><Relationship Type="http://schemas.openxmlformats.org/officeDocument/2006/relationships/hyperlink" Id="rId175" Target="https://www.reuters.com/markets/us/feds-powell-weigh-amid-tariff-fray-market-drop-2025-04-04/" TargetMode="External" /><Relationship Type="http://schemas.openxmlformats.org/officeDocument/2006/relationships/hyperlink" Id="rId153" Target="https://www.science.org/content/article/nsf-s-grant-cuts-fall-heaviest-scientists-underrepresented-groups" TargetMode="External" /><Relationship Type="http://schemas.openxmlformats.org/officeDocument/2006/relationships/hyperlink" Id="rId127" Target="https://www.washingtonpost.com/science/2025/02/04/national-science-foundation-trump-executive-orders-words/" TargetMode="External" /><Relationship Type="http://schemas.openxmlformats.org/officeDocument/2006/relationships/hyperlink" Id="rId186" Target="https://www.whitehouse.gov/fact-sheets/2025/04/fact-sheet-president-donald-j-trump-reforms-accreditation-to-strengthen-higher-education/"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2025-07-08T02:59:49Z</dcterms:created>
  <dcterms:modified xsi:type="dcterms:W3CDTF">2025-07-08T02:59:49Z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examined changes in the academic job market over time. We investigated the editing dynamics of the Wiki to understand its users and their biases. We then analyzed the text of 431 job ads posted from 2013–2023. Our analysis addresses the question of how archaeological topics, methods, and geographic regions specified in archaeological job ads have shifted over time. We also explored whether the labor burden for applicants has changed over time: do institutions request more information and documents from applicants at the initial stages of application, compared to a decade ago? Finally, we assessed the influence of socio-political factors on the changing focus of research topics in the field. We conclude with implications for archaeology students, graduates, and advisors seeking to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July 8,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